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99" w:rsidRDefault="00095499" w:rsidP="000A3545">
      <w:pPr>
        <w:spacing w:after="0"/>
        <w:jc w:val="center"/>
        <w:rPr>
          <w:rFonts w:ascii="Arial" w:hAnsi="Arial" w:cs="Arial"/>
          <w:b/>
          <w:sz w:val="28"/>
          <w:szCs w:val="28"/>
          <w:u w:val="single"/>
        </w:rPr>
      </w:pPr>
      <w:r w:rsidRPr="00872EA8">
        <w:rPr>
          <w:rFonts w:ascii="Arial" w:hAnsi="Arial" w:cs="Arial"/>
          <w:b/>
          <w:sz w:val="28"/>
          <w:szCs w:val="28"/>
          <w:u w:val="single"/>
        </w:rPr>
        <w:t>Our Involvement Strategy</w:t>
      </w:r>
      <w:bookmarkStart w:id="0" w:name="_GoBack"/>
      <w:bookmarkEnd w:id="0"/>
    </w:p>
    <w:p w:rsidR="000A3545" w:rsidRPr="000A3545" w:rsidRDefault="000A3545" w:rsidP="000A3545">
      <w:pPr>
        <w:spacing w:after="0"/>
        <w:rPr>
          <w:rFonts w:ascii="Arial" w:hAnsi="Arial" w:cs="Arial"/>
          <w:b/>
          <w:sz w:val="24"/>
          <w:szCs w:val="24"/>
          <w:u w:val="single"/>
        </w:rPr>
      </w:pPr>
    </w:p>
    <w:p w:rsidR="00095499" w:rsidRPr="00872EA8" w:rsidRDefault="00095499" w:rsidP="00095499">
      <w:pPr>
        <w:pStyle w:val="BodyText"/>
        <w:ind w:left="0"/>
        <w:rPr>
          <w:rFonts w:cs="Arial"/>
        </w:rPr>
      </w:pPr>
      <w:r w:rsidRPr="00872EA8">
        <w:rPr>
          <w:rFonts w:cs="Arial"/>
        </w:rPr>
        <w:t xml:space="preserve">The North East and North Cumbria Integrated Care System (NENC ICS) is the largest in England and is responsible for the health services of more than three million people across urban and rural areas. </w:t>
      </w:r>
    </w:p>
    <w:p w:rsidR="00095499" w:rsidRPr="00872EA8" w:rsidRDefault="00095499" w:rsidP="00095499">
      <w:pPr>
        <w:pStyle w:val="BodyText"/>
        <w:ind w:left="0"/>
        <w:rPr>
          <w:rFonts w:cs="Arial"/>
        </w:rPr>
      </w:pPr>
    </w:p>
    <w:p w:rsidR="0008725B" w:rsidRPr="00872EA8" w:rsidRDefault="00095499" w:rsidP="00095499">
      <w:pPr>
        <w:pStyle w:val="BodyText"/>
        <w:ind w:left="0"/>
        <w:rPr>
          <w:rFonts w:cs="Arial"/>
        </w:rPr>
      </w:pPr>
      <w:r w:rsidRPr="00872EA8">
        <w:rPr>
          <w:rFonts w:cs="Arial"/>
        </w:rPr>
        <w:t xml:space="preserve">We are one of the youngest ICS areas and we know that relationships are developing. </w:t>
      </w:r>
      <w:r w:rsidR="000A3545">
        <w:rPr>
          <w:rFonts w:cs="Arial"/>
        </w:rPr>
        <w:t>I</w:t>
      </w:r>
      <w:r w:rsidRPr="00872EA8">
        <w:rPr>
          <w:rFonts w:cs="Arial"/>
        </w:rPr>
        <w:t xml:space="preserve">nvolvement and engagement already happens across the region in many different ways. </w:t>
      </w:r>
    </w:p>
    <w:p w:rsidR="0008725B" w:rsidRPr="00872EA8" w:rsidRDefault="0008725B" w:rsidP="00095499">
      <w:pPr>
        <w:pStyle w:val="BodyText"/>
        <w:ind w:left="0"/>
        <w:rPr>
          <w:rFonts w:cs="Arial"/>
        </w:rPr>
      </w:pPr>
    </w:p>
    <w:p w:rsidR="0008725B" w:rsidRPr="00872EA8" w:rsidRDefault="0008725B" w:rsidP="00095499">
      <w:pPr>
        <w:pStyle w:val="BodyText"/>
        <w:ind w:left="0"/>
        <w:rPr>
          <w:rFonts w:cs="Arial"/>
        </w:rPr>
      </w:pPr>
      <w:r w:rsidRPr="00872EA8">
        <w:rPr>
          <w:rFonts w:cs="Arial"/>
        </w:rPr>
        <w:t>Involving and engaging partners, stakeholders and the public in planning, design and delivery of our services is essential if we are to get this right. Wherever, and whenever, possible we will include meaningful involvement as part of our work. We want people to help us design, develop and improve services by sharing their views and experiences. The people we listen to and involve need to reflect the communities we serve.</w:t>
      </w:r>
    </w:p>
    <w:p w:rsidR="0008725B" w:rsidRPr="00872EA8" w:rsidRDefault="0008725B" w:rsidP="00095499">
      <w:pPr>
        <w:pStyle w:val="BodyText"/>
        <w:ind w:left="0"/>
        <w:rPr>
          <w:rFonts w:cs="Arial"/>
        </w:rPr>
      </w:pPr>
    </w:p>
    <w:p w:rsidR="00095499" w:rsidRPr="00872EA8" w:rsidRDefault="00095499" w:rsidP="00095499">
      <w:pPr>
        <w:pStyle w:val="BodyText"/>
        <w:ind w:left="0"/>
        <w:rPr>
          <w:rFonts w:cs="Arial"/>
        </w:rPr>
      </w:pPr>
      <w:r w:rsidRPr="00872EA8">
        <w:rPr>
          <w:rFonts w:cs="Arial"/>
        </w:rPr>
        <w:t>This framework outlines our ambition to develop a consistent standard across the region</w:t>
      </w:r>
      <w:r w:rsidR="00CE166F">
        <w:rPr>
          <w:rFonts w:cs="Arial"/>
        </w:rPr>
        <w:t xml:space="preserve"> for our Integrated Care Board (ICB)</w:t>
      </w:r>
      <w:r w:rsidRPr="00872EA8">
        <w:rPr>
          <w:rFonts w:cs="Arial"/>
        </w:rPr>
        <w:t>:</w:t>
      </w:r>
    </w:p>
    <w:p w:rsidR="00095499" w:rsidRPr="00872EA8" w:rsidRDefault="00095499" w:rsidP="00095499">
      <w:pPr>
        <w:pStyle w:val="BodyText"/>
        <w:ind w:left="0"/>
        <w:rPr>
          <w:rFonts w:cs="Arial"/>
        </w:rPr>
      </w:pPr>
    </w:p>
    <w:p w:rsidR="00095499" w:rsidRPr="00872EA8" w:rsidRDefault="00095499" w:rsidP="00095499">
      <w:pPr>
        <w:pStyle w:val="BodyText"/>
        <w:numPr>
          <w:ilvl w:val="0"/>
          <w:numId w:val="3"/>
        </w:numPr>
        <w:rPr>
          <w:rFonts w:cs="Arial"/>
          <w:b/>
          <w:bCs/>
        </w:rPr>
      </w:pPr>
      <w:r w:rsidRPr="00872EA8">
        <w:rPr>
          <w:rFonts w:cs="Arial"/>
        </w:rPr>
        <w:t>Building on what we do well and valuing local relationships</w:t>
      </w:r>
    </w:p>
    <w:p w:rsidR="00095499" w:rsidRPr="00872EA8" w:rsidRDefault="00095499" w:rsidP="00095499">
      <w:pPr>
        <w:pStyle w:val="BodyText"/>
        <w:numPr>
          <w:ilvl w:val="0"/>
          <w:numId w:val="3"/>
        </w:numPr>
        <w:rPr>
          <w:rFonts w:cs="Arial"/>
          <w:b/>
          <w:bCs/>
        </w:rPr>
      </w:pPr>
      <w:r w:rsidRPr="00872EA8">
        <w:rPr>
          <w:rFonts w:cs="Arial"/>
        </w:rPr>
        <w:t>Going to where people are – and knowing we have to try harder to reach some people we don’t hear from well enough</w:t>
      </w:r>
    </w:p>
    <w:p w:rsidR="0008725B" w:rsidRPr="00872EA8" w:rsidRDefault="0008725B" w:rsidP="00095499">
      <w:pPr>
        <w:pStyle w:val="BodyText"/>
        <w:numPr>
          <w:ilvl w:val="0"/>
          <w:numId w:val="3"/>
        </w:numPr>
        <w:rPr>
          <w:rFonts w:cs="Arial"/>
          <w:b/>
          <w:bCs/>
        </w:rPr>
      </w:pPr>
      <w:r w:rsidRPr="00872EA8">
        <w:rPr>
          <w:rFonts w:cs="Arial"/>
        </w:rPr>
        <w:t xml:space="preserve">Supporting people </w:t>
      </w:r>
      <w:r w:rsidR="000A3545">
        <w:rPr>
          <w:rFonts w:cs="Arial"/>
        </w:rPr>
        <w:t>to be</w:t>
      </w:r>
      <w:r w:rsidR="00F97518" w:rsidRPr="00872EA8">
        <w:rPr>
          <w:rFonts w:cs="Arial"/>
        </w:rPr>
        <w:t xml:space="preserve"> meaningfully</w:t>
      </w:r>
      <w:r w:rsidRPr="00872EA8">
        <w:rPr>
          <w:rFonts w:cs="Arial"/>
        </w:rPr>
        <w:t xml:space="preserve"> involved </w:t>
      </w:r>
    </w:p>
    <w:p w:rsidR="0008725B" w:rsidRPr="00872EA8" w:rsidRDefault="0008725B" w:rsidP="0008725B">
      <w:pPr>
        <w:pStyle w:val="BodyText"/>
        <w:numPr>
          <w:ilvl w:val="0"/>
          <w:numId w:val="3"/>
        </w:numPr>
        <w:rPr>
          <w:rFonts w:cs="Arial"/>
        </w:rPr>
      </w:pPr>
      <w:r w:rsidRPr="00872EA8">
        <w:rPr>
          <w:rFonts w:cs="Arial"/>
        </w:rPr>
        <w:t>Being open about the challenges and opportunities we face – being transparent with the people who run and use our services</w:t>
      </w:r>
    </w:p>
    <w:p w:rsidR="0008725B" w:rsidRPr="00872EA8" w:rsidRDefault="0008725B" w:rsidP="0008725B">
      <w:pPr>
        <w:pStyle w:val="BodyText"/>
        <w:numPr>
          <w:ilvl w:val="0"/>
          <w:numId w:val="3"/>
        </w:numPr>
        <w:rPr>
          <w:rFonts w:cs="Arial"/>
        </w:rPr>
      </w:pPr>
      <w:r w:rsidRPr="00872EA8">
        <w:rPr>
          <w:rFonts w:cs="Arial"/>
        </w:rPr>
        <w:t>Ensuring the recent, relevant lived experience of people using our services (and their families and carers) can help to inform service change and improvement.</w:t>
      </w:r>
    </w:p>
    <w:p w:rsidR="0008725B" w:rsidRPr="00872EA8" w:rsidRDefault="0008725B" w:rsidP="0008725B">
      <w:pPr>
        <w:pStyle w:val="BodyText"/>
        <w:numPr>
          <w:ilvl w:val="0"/>
          <w:numId w:val="3"/>
        </w:numPr>
        <w:rPr>
          <w:rFonts w:cs="Arial"/>
        </w:rPr>
      </w:pPr>
      <w:r w:rsidRPr="00872EA8">
        <w:rPr>
          <w:rFonts w:cs="Arial"/>
        </w:rPr>
        <w:t>When people give up their time to share their input we should provide timely feedback about the impact it has had – you said, we did (or weren’t able to do because…)</w:t>
      </w:r>
    </w:p>
    <w:p w:rsidR="00DF3552" w:rsidRPr="00872EA8" w:rsidRDefault="0008725B" w:rsidP="00095499">
      <w:pPr>
        <w:pStyle w:val="BodyText"/>
        <w:numPr>
          <w:ilvl w:val="0"/>
          <w:numId w:val="3"/>
        </w:numPr>
        <w:rPr>
          <w:rFonts w:cs="Arial"/>
        </w:rPr>
      </w:pPr>
      <w:r w:rsidRPr="00872EA8">
        <w:rPr>
          <w:rFonts w:cs="Arial"/>
        </w:rPr>
        <w:t>Use a range of engagement approaches</w:t>
      </w:r>
    </w:p>
    <w:p w:rsidR="000A3545" w:rsidRPr="000A3545" w:rsidRDefault="00DF3552" w:rsidP="000A3545">
      <w:pPr>
        <w:pStyle w:val="BodyText"/>
        <w:numPr>
          <w:ilvl w:val="0"/>
          <w:numId w:val="3"/>
        </w:numPr>
        <w:rPr>
          <w:rFonts w:cs="Arial"/>
        </w:rPr>
      </w:pPr>
      <w:r w:rsidRPr="00872EA8">
        <w:rPr>
          <w:rFonts w:cs="Arial"/>
        </w:rPr>
        <w:t xml:space="preserve">Ensure </w:t>
      </w:r>
      <w:r w:rsidR="0008725B" w:rsidRPr="00872EA8">
        <w:rPr>
          <w:rFonts w:cs="Arial"/>
        </w:rPr>
        <w:t xml:space="preserve">involvement </w:t>
      </w:r>
      <w:r w:rsidRPr="00872EA8">
        <w:rPr>
          <w:rFonts w:cs="Arial"/>
        </w:rPr>
        <w:t xml:space="preserve">is part of all </w:t>
      </w:r>
      <w:r w:rsidR="000A3545">
        <w:rPr>
          <w:rFonts w:cs="Arial"/>
        </w:rPr>
        <w:t>business case</w:t>
      </w:r>
      <w:r w:rsidRPr="00872EA8">
        <w:rPr>
          <w:rFonts w:cs="Arial"/>
        </w:rPr>
        <w:t xml:space="preserve"> development</w:t>
      </w:r>
      <w:r w:rsidR="0008725B" w:rsidRPr="00872EA8">
        <w:rPr>
          <w:rFonts w:cs="Arial"/>
        </w:rPr>
        <w:t xml:space="preserve"> and implementation </w:t>
      </w:r>
    </w:p>
    <w:p w:rsidR="00DF3552" w:rsidRDefault="00DF3552" w:rsidP="00095499">
      <w:pPr>
        <w:pStyle w:val="BodyText"/>
        <w:numPr>
          <w:ilvl w:val="0"/>
          <w:numId w:val="3"/>
        </w:numPr>
        <w:rPr>
          <w:rFonts w:cs="Arial"/>
        </w:rPr>
      </w:pPr>
      <w:r w:rsidRPr="00872EA8">
        <w:rPr>
          <w:rFonts w:cs="Arial"/>
        </w:rPr>
        <w:t>Take opportunities to innovate – including exploring the creation of a NENC Citizen’s Panel</w:t>
      </w:r>
    </w:p>
    <w:p w:rsidR="00872EA8" w:rsidRPr="00872EA8" w:rsidRDefault="00872EA8" w:rsidP="00095499">
      <w:pPr>
        <w:pStyle w:val="BodyText"/>
        <w:numPr>
          <w:ilvl w:val="0"/>
          <w:numId w:val="3"/>
        </w:numPr>
        <w:rPr>
          <w:rFonts w:cs="Arial"/>
        </w:rPr>
      </w:pPr>
      <w:r>
        <w:rPr>
          <w:rFonts w:cs="Arial"/>
        </w:rPr>
        <w:t xml:space="preserve">Make information and opportunities to engage accessible to everyone in our community </w:t>
      </w:r>
    </w:p>
    <w:p w:rsidR="00DF3552" w:rsidRPr="00872EA8" w:rsidRDefault="00DF3552" w:rsidP="00DF3552">
      <w:pPr>
        <w:pStyle w:val="BodyText"/>
        <w:rPr>
          <w:rFonts w:cs="Arial"/>
        </w:rPr>
      </w:pPr>
    </w:p>
    <w:p w:rsidR="00872EA8" w:rsidRDefault="00872EA8" w:rsidP="00872EA8">
      <w:pPr>
        <w:pStyle w:val="BodyText"/>
        <w:ind w:left="0"/>
        <w:rPr>
          <w:rFonts w:cs="Arial"/>
        </w:rPr>
      </w:pPr>
      <w:r>
        <w:rPr>
          <w:rFonts w:cs="Arial"/>
        </w:rPr>
        <w:t>We will only be able to do this effectively by working with our partners across the NHS and our local authorities, our diverse third sector and Healthwatch.</w:t>
      </w:r>
    </w:p>
    <w:p w:rsidR="00872EA8" w:rsidRDefault="00872EA8" w:rsidP="00872EA8">
      <w:pPr>
        <w:pStyle w:val="BodyText"/>
        <w:ind w:left="0"/>
        <w:rPr>
          <w:rFonts w:cs="Arial"/>
        </w:rPr>
      </w:pPr>
    </w:p>
    <w:p w:rsidR="000A3545" w:rsidRDefault="00872EA8" w:rsidP="00872EA8">
      <w:pPr>
        <w:pStyle w:val="BodyText"/>
        <w:ind w:left="0"/>
        <w:rPr>
          <w:rFonts w:cs="Arial"/>
        </w:rPr>
      </w:pPr>
      <w:r w:rsidRPr="00872EA8">
        <w:rPr>
          <w:rFonts w:cs="Arial"/>
        </w:rPr>
        <w:t>We will regularly monitor and reflect on our activity to ensure we are reaching our audiences effectively</w:t>
      </w:r>
      <w:r w:rsidR="000A3545">
        <w:rPr>
          <w:rFonts w:cs="Arial"/>
        </w:rPr>
        <w:t>,</w:t>
      </w:r>
      <w:r w:rsidRPr="00872EA8">
        <w:rPr>
          <w:rFonts w:cs="Arial"/>
        </w:rPr>
        <w:t xml:space="preserve"> and provide equal and appropriate opportunities for involvement and feedback. </w:t>
      </w:r>
    </w:p>
    <w:p w:rsidR="000A3545" w:rsidRDefault="000A3545" w:rsidP="00872EA8">
      <w:pPr>
        <w:pStyle w:val="BodyText"/>
        <w:ind w:left="0"/>
        <w:rPr>
          <w:rFonts w:cs="Arial"/>
        </w:rPr>
      </w:pPr>
    </w:p>
    <w:p w:rsidR="00872EA8" w:rsidRPr="00872EA8" w:rsidRDefault="00872EA8" w:rsidP="000A3545">
      <w:pPr>
        <w:pStyle w:val="BodyText"/>
        <w:ind w:left="0"/>
        <w:rPr>
          <w:rFonts w:cs="Arial"/>
        </w:rPr>
      </w:pPr>
      <w:r w:rsidRPr="00872EA8">
        <w:rPr>
          <w:rFonts w:cs="Arial"/>
        </w:rPr>
        <w:t xml:space="preserve">On a project basis we will consider the following five key questions to engagement activity success: </w:t>
      </w:r>
    </w:p>
    <w:p w:rsidR="00872EA8" w:rsidRPr="00872EA8" w:rsidRDefault="00872EA8" w:rsidP="00872EA8">
      <w:pPr>
        <w:pStyle w:val="BodyText"/>
        <w:numPr>
          <w:ilvl w:val="4"/>
          <w:numId w:val="4"/>
        </w:numPr>
        <w:ind w:left="709" w:hanging="425"/>
        <w:rPr>
          <w:rFonts w:cs="Arial"/>
        </w:rPr>
      </w:pPr>
      <w:r w:rsidRPr="00872EA8">
        <w:rPr>
          <w:rFonts w:cs="Arial"/>
        </w:rPr>
        <w:t xml:space="preserve">Did we identify clear objectives that support wider project, </w:t>
      </w:r>
      <w:proofErr w:type="spellStart"/>
      <w:r w:rsidRPr="00872EA8">
        <w:rPr>
          <w:rFonts w:cs="Arial"/>
        </w:rPr>
        <w:t>programme</w:t>
      </w:r>
      <w:proofErr w:type="spellEnd"/>
      <w:r w:rsidRPr="00872EA8">
        <w:rPr>
          <w:rFonts w:cs="Arial"/>
        </w:rPr>
        <w:t xml:space="preserve"> or </w:t>
      </w:r>
      <w:proofErr w:type="spellStart"/>
      <w:r w:rsidRPr="00872EA8">
        <w:rPr>
          <w:rFonts w:cs="Arial"/>
        </w:rPr>
        <w:t>organisational</w:t>
      </w:r>
      <w:proofErr w:type="spellEnd"/>
      <w:r w:rsidRPr="00872EA8">
        <w:rPr>
          <w:rFonts w:cs="Arial"/>
        </w:rPr>
        <w:t xml:space="preserve"> goals? </w:t>
      </w:r>
    </w:p>
    <w:p w:rsidR="00872EA8" w:rsidRPr="00872EA8" w:rsidRDefault="00872EA8" w:rsidP="00872EA8">
      <w:pPr>
        <w:pStyle w:val="BodyText"/>
        <w:numPr>
          <w:ilvl w:val="4"/>
          <w:numId w:val="4"/>
        </w:numPr>
        <w:ind w:left="709" w:hanging="425"/>
        <w:rPr>
          <w:rFonts w:cs="Arial"/>
        </w:rPr>
      </w:pPr>
      <w:r w:rsidRPr="00872EA8">
        <w:rPr>
          <w:rFonts w:cs="Arial"/>
        </w:rPr>
        <w:t xml:space="preserve">Did we identify the right people and stakeholders (and any potential gaps)? </w:t>
      </w:r>
    </w:p>
    <w:p w:rsidR="00872EA8" w:rsidRPr="00872EA8" w:rsidRDefault="00872EA8" w:rsidP="00872EA8">
      <w:pPr>
        <w:pStyle w:val="BodyText"/>
        <w:numPr>
          <w:ilvl w:val="4"/>
          <w:numId w:val="4"/>
        </w:numPr>
        <w:ind w:left="709" w:hanging="425"/>
        <w:rPr>
          <w:rFonts w:cs="Arial"/>
        </w:rPr>
      </w:pPr>
      <w:r w:rsidRPr="00872EA8">
        <w:rPr>
          <w:rFonts w:cs="Arial"/>
        </w:rPr>
        <w:t xml:space="preserve">Did we identify the right messages and methods for the participants? </w:t>
      </w:r>
    </w:p>
    <w:p w:rsidR="00872EA8" w:rsidRPr="00872EA8" w:rsidRDefault="00872EA8" w:rsidP="00872EA8">
      <w:pPr>
        <w:pStyle w:val="BodyText"/>
        <w:numPr>
          <w:ilvl w:val="4"/>
          <w:numId w:val="4"/>
        </w:numPr>
        <w:ind w:left="709" w:hanging="425"/>
        <w:rPr>
          <w:rFonts w:cs="Arial"/>
        </w:rPr>
      </w:pPr>
      <w:r w:rsidRPr="00872EA8">
        <w:rPr>
          <w:rFonts w:cs="Arial"/>
        </w:rPr>
        <w:t xml:space="preserve">Did we identify a realistic set of outputs and activities? </w:t>
      </w:r>
    </w:p>
    <w:p w:rsidR="00095499" w:rsidRPr="00C913CC" w:rsidRDefault="00872EA8" w:rsidP="00C913CC">
      <w:pPr>
        <w:pStyle w:val="BodyText"/>
        <w:numPr>
          <w:ilvl w:val="4"/>
          <w:numId w:val="4"/>
        </w:numPr>
        <w:ind w:left="709" w:hanging="425"/>
        <w:rPr>
          <w:rFonts w:cs="Arial"/>
        </w:rPr>
      </w:pPr>
      <w:r w:rsidRPr="00872EA8">
        <w:rPr>
          <w:rFonts w:cs="Arial"/>
        </w:rPr>
        <w:t>What did we learn and hav</w:t>
      </w:r>
      <w:r w:rsidR="00C913CC">
        <w:rPr>
          <w:rFonts w:cs="Arial"/>
        </w:rPr>
        <w:t>e we fed back to those involved</w:t>
      </w:r>
    </w:p>
    <w:sectPr w:rsidR="00095499" w:rsidRPr="00C913CC" w:rsidSect="00872EA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4F" w:rsidRDefault="0062604F" w:rsidP="00C913CC">
      <w:pPr>
        <w:spacing w:after="0" w:line="240" w:lineRule="auto"/>
      </w:pPr>
      <w:r>
        <w:separator/>
      </w:r>
    </w:p>
  </w:endnote>
  <w:endnote w:type="continuationSeparator" w:id="0">
    <w:p w:rsidR="0062604F" w:rsidRDefault="0062604F" w:rsidP="00C9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CC" w:rsidRDefault="00C913CC">
    <w:pPr>
      <w:pStyle w:val="Footer"/>
      <w:rPr>
        <w:noProof/>
        <w:lang w:eastAsia="en-GB"/>
      </w:rPr>
    </w:pPr>
    <w:r>
      <w:rPr>
        <w:rFonts w:ascii="Arial" w:hAnsi="Arial" w:cs="Arial"/>
        <w:noProof/>
        <w:sz w:val="24"/>
        <w:szCs w:val="24"/>
        <w:lang w:eastAsia="en-GB"/>
      </w:rPr>
      <w:drawing>
        <wp:inline distT="0" distB="0" distL="0" distR="0" wp14:anchorId="4ABA32C6" wp14:editId="643ABC48">
          <wp:extent cx="1460500" cy="4667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155" cy="528282"/>
                  </a:xfrm>
                  <a:prstGeom prst="rect">
                    <a:avLst/>
                  </a:prstGeom>
                  <a:noFill/>
                </pic:spPr>
              </pic:pic>
            </a:graphicData>
          </a:graphic>
        </wp:inline>
      </w:drawing>
    </w:r>
    <w:r>
      <w:rPr>
        <w:noProof/>
        <w:lang w:eastAsia="en-GB"/>
      </w:rPr>
      <w:t xml:space="preserve">                                                                                                                                             </w:t>
    </w:r>
    <w:r>
      <w:rPr>
        <w:noProof/>
        <w:lang w:eastAsia="en-GB"/>
      </w:rPr>
      <w:drawing>
        <wp:inline distT="0" distB="0" distL="0" distR="0" wp14:anchorId="17BAD780" wp14:editId="75EA17F2">
          <wp:extent cx="652659" cy="488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478" cy="5240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4F" w:rsidRDefault="0062604F" w:rsidP="00C913CC">
      <w:pPr>
        <w:spacing w:after="0" w:line="240" w:lineRule="auto"/>
      </w:pPr>
      <w:r>
        <w:separator/>
      </w:r>
    </w:p>
  </w:footnote>
  <w:footnote w:type="continuationSeparator" w:id="0">
    <w:p w:rsidR="0062604F" w:rsidRDefault="0062604F" w:rsidP="00C9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CC" w:rsidRDefault="00C913CC" w:rsidP="00C913CC">
    <w:pPr>
      <w:pStyle w:val="Header"/>
    </w:pPr>
    <w:r>
      <w:rPr>
        <w:noProof/>
        <w:lang w:eastAsia="en-GB"/>
      </w:rPr>
      <w:drawing>
        <wp:inline distT="0" distB="0" distL="0" distR="0" wp14:anchorId="30ADB1F4">
          <wp:extent cx="2672715" cy="8555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54" cy="871366"/>
                  </a:xfrm>
                  <a:prstGeom prst="rect">
                    <a:avLst/>
                  </a:prstGeom>
                  <a:noFill/>
                </pic:spPr>
              </pic:pic>
            </a:graphicData>
          </a:graphic>
        </wp:inline>
      </w:drawing>
    </w:r>
    <w:r>
      <w:rPr>
        <w:noProof/>
        <w:lang w:eastAsia="en-GB"/>
      </w:rPr>
      <w:t xml:space="preserve">                                                                                          </w:t>
    </w:r>
    <w:r>
      <w:rPr>
        <w:noProof/>
        <w:lang w:eastAsia="en-GB"/>
      </w:rPr>
      <w:drawing>
        <wp:inline distT="0" distB="0" distL="0" distR="0" wp14:anchorId="02142F6A">
          <wp:extent cx="1100198" cy="82423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580" cy="84474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3EBE"/>
    <w:multiLevelType w:val="hybridMultilevel"/>
    <w:tmpl w:val="2460C8EE"/>
    <w:lvl w:ilvl="0" w:tplc="7E0E6F44">
      <w:numFmt w:val="bullet"/>
      <w:lvlText w:val=""/>
      <w:lvlJc w:val="left"/>
      <w:pPr>
        <w:ind w:left="720" w:hanging="360"/>
      </w:pPr>
      <w:rPr>
        <w:rFonts w:ascii="Symbol" w:eastAsia="Arial" w:hAnsi="Symbol"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5575E"/>
    <w:multiLevelType w:val="multilevel"/>
    <w:tmpl w:val="F06055FC"/>
    <w:lvl w:ilvl="0">
      <w:start w:val="1"/>
      <w:numFmt w:val="decimal"/>
      <w:lvlText w:val="%1."/>
      <w:lvlJc w:val="left"/>
      <w:pPr>
        <w:ind w:left="360" w:hanging="360"/>
      </w:pPr>
      <w:rPr>
        <w:rFonts w:hint="default"/>
        <w:b/>
        <w:i w:val="0"/>
      </w:rPr>
    </w:lvl>
    <w:lvl w:ilvl="1">
      <w:start w:val="5"/>
      <w:numFmt w:val="decimal"/>
      <w:isLgl/>
      <w:lvlText w:val="%1.%2"/>
      <w:lvlJc w:val="left"/>
      <w:pPr>
        <w:ind w:left="430" w:hanging="40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70" w:hanging="1080"/>
      </w:pPr>
      <w:rPr>
        <w:rFonts w:hint="default"/>
      </w:rPr>
    </w:lvl>
    <w:lvl w:ilvl="4">
      <w:start w:val="1"/>
      <w:numFmt w:val="decimal"/>
      <w:lvlText w:val="%5."/>
      <w:lvlJc w:val="left"/>
      <w:pPr>
        <w:ind w:left="120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2010" w:hanging="1800"/>
      </w:pPr>
      <w:rPr>
        <w:rFonts w:hint="default"/>
      </w:rPr>
    </w:lvl>
    <w:lvl w:ilvl="8">
      <w:start w:val="1"/>
      <w:numFmt w:val="decimal"/>
      <w:isLgl/>
      <w:lvlText w:val="%1.%2.%3.%4.%5.%6.%7.%8.%9"/>
      <w:lvlJc w:val="left"/>
      <w:pPr>
        <w:ind w:left="2040" w:hanging="1800"/>
      </w:pPr>
      <w:rPr>
        <w:rFonts w:hint="default"/>
      </w:rPr>
    </w:lvl>
  </w:abstractNum>
  <w:abstractNum w:abstractNumId="2" w15:restartNumberingAfterBreak="0">
    <w:nsid w:val="42783A18"/>
    <w:multiLevelType w:val="hybridMultilevel"/>
    <w:tmpl w:val="B10219FA"/>
    <w:lvl w:ilvl="0" w:tplc="9698D5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672E7"/>
    <w:multiLevelType w:val="hybridMultilevel"/>
    <w:tmpl w:val="CEECD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99"/>
    <w:rsid w:val="0008725B"/>
    <w:rsid w:val="00095499"/>
    <w:rsid w:val="000A3545"/>
    <w:rsid w:val="004243E5"/>
    <w:rsid w:val="004F5D64"/>
    <w:rsid w:val="005A2AE9"/>
    <w:rsid w:val="0062604F"/>
    <w:rsid w:val="00872EA8"/>
    <w:rsid w:val="00C913CC"/>
    <w:rsid w:val="00CE166F"/>
    <w:rsid w:val="00DF3552"/>
    <w:rsid w:val="00F00204"/>
    <w:rsid w:val="00F9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FAA6E4-8767-48BA-88CF-CDBA793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95499"/>
    <w:pPr>
      <w:widowControl w:val="0"/>
      <w:spacing w:before="40" w:after="0" w:line="240" w:lineRule="auto"/>
      <w:ind w:left="547" w:hanging="427"/>
      <w:outlineLvl w:val="0"/>
    </w:pPr>
    <w:rPr>
      <w:rFonts w:ascii="Arial" w:eastAsia="Arial" w:hAnsi="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99"/>
    <w:pPr>
      <w:ind w:left="720"/>
      <w:contextualSpacing/>
    </w:pPr>
  </w:style>
  <w:style w:type="character" w:customStyle="1" w:styleId="Heading1Char">
    <w:name w:val="Heading 1 Char"/>
    <w:basedOn w:val="DefaultParagraphFont"/>
    <w:link w:val="Heading1"/>
    <w:uiPriority w:val="1"/>
    <w:rsid w:val="00095499"/>
    <w:rPr>
      <w:rFonts w:ascii="Arial" w:eastAsia="Arial" w:hAnsi="Arial"/>
      <w:b/>
      <w:bCs/>
      <w:sz w:val="28"/>
      <w:szCs w:val="28"/>
      <w:lang w:val="en-US"/>
    </w:rPr>
  </w:style>
  <w:style w:type="paragraph" w:styleId="BodyText">
    <w:name w:val="Body Text"/>
    <w:basedOn w:val="Normal"/>
    <w:link w:val="BodyTextChar"/>
    <w:uiPriority w:val="1"/>
    <w:qFormat/>
    <w:rsid w:val="00095499"/>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095499"/>
    <w:rPr>
      <w:rFonts w:ascii="Arial" w:eastAsia="Arial" w:hAnsi="Arial"/>
      <w:sz w:val="24"/>
      <w:szCs w:val="24"/>
      <w:lang w:val="en-US"/>
    </w:rPr>
  </w:style>
  <w:style w:type="paragraph" w:styleId="Header">
    <w:name w:val="header"/>
    <w:basedOn w:val="Normal"/>
    <w:link w:val="HeaderChar"/>
    <w:uiPriority w:val="99"/>
    <w:unhideWhenUsed/>
    <w:rsid w:val="00C9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3CC"/>
  </w:style>
  <w:style w:type="paragraph" w:styleId="Footer">
    <w:name w:val="footer"/>
    <w:basedOn w:val="Normal"/>
    <w:link w:val="FooterChar"/>
    <w:uiPriority w:val="99"/>
    <w:unhideWhenUsed/>
    <w:rsid w:val="00C9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Julie (01H) NHS North Cumbria CCG</dc:creator>
  <cp:keywords/>
  <dc:description/>
  <cp:lastModifiedBy>Clayton Julie (01H) NHS North Cumbria CCG</cp:lastModifiedBy>
  <cp:revision>7</cp:revision>
  <dcterms:created xsi:type="dcterms:W3CDTF">2022-05-23T15:07:00Z</dcterms:created>
  <dcterms:modified xsi:type="dcterms:W3CDTF">2022-05-23T16:21:00Z</dcterms:modified>
</cp:coreProperties>
</file>