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DBD35" w14:textId="1A880910" w:rsidR="007660D2" w:rsidRPr="007660D2" w:rsidRDefault="00895712" w:rsidP="00895712">
      <w:pPr>
        <w:ind w:left="6480" w:firstLine="720"/>
        <w:rPr>
          <w:color w:val="1F4E79" w:themeColor="accent5" w:themeShade="80"/>
          <w:sz w:val="32"/>
          <w:bdr w:val="none" w:sz="0" w:space="0" w:color="auto" w:frame="1"/>
        </w:rPr>
      </w:pPr>
      <w:r w:rsidRPr="00895712">
        <w:rPr>
          <w:noProof/>
        </w:rPr>
        <w:drawing>
          <wp:inline distT="0" distB="0" distL="0" distR="0" wp14:anchorId="62D54EFE" wp14:editId="2C445817">
            <wp:extent cx="1709420" cy="1029140"/>
            <wp:effectExtent l="0" t="0" r="508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1"/>
                    <a:stretch>
                      <a:fillRect/>
                    </a:stretch>
                  </pic:blipFill>
                  <pic:spPr>
                    <a:xfrm>
                      <a:off x="0" y="0"/>
                      <a:ext cx="1731494" cy="1042430"/>
                    </a:xfrm>
                    <a:prstGeom prst="rect">
                      <a:avLst/>
                    </a:prstGeom>
                  </pic:spPr>
                </pic:pic>
              </a:graphicData>
            </a:graphic>
          </wp:inline>
        </w:drawing>
      </w:r>
    </w:p>
    <w:p w14:paraId="448AF08E" w14:textId="77777777" w:rsidR="00140628" w:rsidRDefault="00140628" w:rsidP="007660D2">
      <w:pPr>
        <w:pStyle w:val="Heading2"/>
        <w:spacing w:after="240"/>
        <w:jc w:val="center"/>
        <w:rPr>
          <w:rFonts w:cs="Arial"/>
          <w:color w:val="auto"/>
          <w:sz w:val="32"/>
          <w:bdr w:val="none" w:sz="0" w:space="0" w:color="auto" w:frame="1"/>
        </w:rPr>
      </w:pPr>
    </w:p>
    <w:p w14:paraId="7C61CC3F" w14:textId="77777777" w:rsidR="00140628" w:rsidRDefault="00140628" w:rsidP="007660D2">
      <w:pPr>
        <w:pStyle w:val="Heading2"/>
        <w:spacing w:after="240"/>
        <w:jc w:val="center"/>
        <w:rPr>
          <w:rFonts w:cs="Arial"/>
          <w:color w:val="auto"/>
          <w:sz w:val="32"/>
          <w:bdr w:val="none" w:sz="0" w:space="0" w:color="auto" w:frame="1"/>
        </w:rPr>
      </w:pPr>
    </w:p>
    <w:p w14:paraId="59456760" w14:textId="77777777" w:rsidR="00140628" w:rsidRDefault="00140628" w:rsidP="007660D2">
      <w:pPr>
        <w:pStyle w:val="Heading2"/>
        <w:spacing w:after="240"/>
        <w:jc w:val="center"/>
        <w:rPr>
          <w:rFonts w:cs="Arial"/>
          <w:color w:val="auto"/>
          <w:sz w:val="32"/>
          <w:bdr w:val="none" w:sz="0" w:space="0" w:color="auto" w:frame="1"/>
        </w:rPr>
      </w:pPr>
    </w:p>
    <w:p w14:paraId="1C0090A5" w14:textId="4EE599AD" w:rsidR="007660D2" w:rsidRPr="00BE1668" w:rsidRDefault="007660D2" w:rsidP="007660D2">
      <w:pPr>
        <w:pStyle w:val="Heading2"/>
        <w:spacing w:after="240"/>
        <w:jc w:val="center"/>
        <w:rPr>
          <w:rFonts w:cs="Arial"/>
          <w:color w:val="auto"/>
          <w:sz w:val="32"/>
          <w:bdr w:val="none" w:sz="0" w:space="0" w:color="auto" w:frame="1"/>
        </w:rPr>
      </w:pPr>
      <w:r w:rsidRPr="00BE1668">
        <w:rPr>
          <w:rFonts w:cs="Arial"/>
          <w:color w:val="auto"/>
          <w:sz w:val="32"/>
          <w:bdr w:val="none" w:sz="0" w:space="0" w:color="auto" w:frame="1"/>
        </w:rPr>
        <w:t xml:space="preserve"> Integrated Care Board</w:t>
      </w:r>
    </w:p>
    <w:p w14:paraId="7440F24B" w14:textId="77777777" w:rsidR="00895712" w:rsidRDefault="00895712" w:rsidP="007660D2">
      <w:pPr>
        <w:pStyle w:val="Header"/>
        <w:ind w:left="360"/>
        <w:jc w:val="center"/>
        <w:rPr>
          <w:rFonts w:ascii="Arial Bold" w:hAnsi="Arial Bold" w:cs="Arial"/>
          <w:b/>
          <w:sz w:val="36"/>
          <w:szCs w:val="36"/>
        </w:rPr>
      </w:pPr>
    </w:p>
    <w:p w14:paraId="5CB9BD1E" w14:textId="7A9C0A39" w:rsidR="007660D2" w:rsidRDefault="002952CB" w:rsidP="007660D2">
      <w:pPr>
        <w:pStyle w:val="Header"/>
        <w:ind w:left="360"/>
        <w:jc w:val="center"/>
        <w:rPr>
          <w:rFonts w:ascii="Arial Bold" w:hAnsi="Arial Bold" w:cs="Arial"/>
          <w:b/>
          <w:sz w:val="36"/>
          <w:szCs w:val="36"/>
        </w:rPr>
      </w:pPr>
      <w:r w:rsidRPr="00895712">
        <w:rPr>
          <w:rFonts w:ascii="Arial Bold" w:hAnsi="Arial Bold" w:cs="Arial"/>
          <w:b/>
          <w:sz w:val="36"/>
          <w:szCs w:val="36"/>
        </w:rPr>
        <w:t>P</w:t>
      </w:r>
      <w:r w:rsidR="00895712">
        <w:rPr>
          <w:rFonts w:ascii="Arial Bold" w:hAnsi="Arial Bold" w:cs="Arial"/>
          <w:b/>
          <w:sz w:val="36"/>
          <w:szCs w:val="36"/>
        </w:rPr>
        <w:t xml:space="preserve">harmaceutical Services Regulations [Sub] </w:t>
      </w:r>
      <w:r w:rsidRPr="00895712">
        <w:rPr>
          <w:rFonts w:ascii="Arial Bold" w:hAnsi="Arial Bold" w:cs="Arial"/>
          <w:b/>
          <w:sz w:val="36"/>
          <w:szCs w:val="36"/>
        </w:rPr>
        <w:t>C</w:t>
      </w:r>
      <w:r w:rsidR="00895712">
        <w:rPr>
          <w:rFonts w:ascii="Arial Bold" w:hAnsi="Arial Bold" w:cs="Arial"/>
          <w:b/>
          <w:sz w:val="36"/>
          <w:szCs w:val="36"/>
        </w:rPr>
        <w:t xml:space="preserve">ommittee </w:t>
      </w:r>
      <w:r w:rsidR="007660D2" w:rsidRPr="00895712">
        <w:rPr>
          <w:rFonts w:ascii="Arial Bold" w:hAnsi="Arial Bold" w:cs="Arial"/>
          <w:b/>
          <w:sz w:val="36"/>
          <w:szCs w:val="36"/>
        </w:rPr>
        <w:t>T</w:t>
      </w:r>
      <w:r w:rsidR="00895712">
        <w:rPr>
          <w:rFonts w:ascii="Arial Bold" w:hAnsi="Arial Bold" w:cs="Arial"/>
          <w:b/>
          <w:sz w:val="36"/>
          <w:szCs w:val="36"/>
        </w:rPr>
        <w:t xml:space="preserve">erms of reference </w:t>
      </w:r>
    </w:p>
    <w:p w14:paraId="4F412AF6" w14:textId="561A68C5" w:rsidR="00895712" w:rsidRDefault="00895712">
      <w:pPr>
        <w:rPr>
          <w:rFonts w:ascii="Arial Bold" w:hAnsi="Arial Bold" w:cs="Arial"/>
          <w:b/>
          <w:sz w:val="36"/>
          <w:szCs w:val="36"/>
        </w:rPr>
      </w:pPr>
      <w:r>
        <w:rPr>
          <w:rFonts w:ascii="Arial Bold" w:hAnsi="Arial Bold" w:cs="Arial"/>
          <w:b/>
          <w:sz w:val="36"/>
          <w:szCs w:val="36"/>
        </w:rPr>
        <w:br w:type="page"/>
      </w:r>
    </w:p>
    <w:p w14:paraId="5C99040F" w14:textId="77777777" w:rsidR="0028669E" w:rsidRPr="0028669E" w:rsidRDefault="0028669E" w:rsidP="007660D2">
      <w:pPr>
        <w:pStyle w:val="Header"/>
        <w:ind w:left="360"/>
        <w:jc w:val="center"/>
        <w:rPr>
          <w:rFonts w:ascii="Arial" w:hAnsi="Arial" w:cs="Arial"/>
          <w:b/>
          <w:sz w:val="24"/>
          <w:szCs w:val="24"/>
        </w:rPr>
      </w:pPr>
    </w:p>
    <w:p w14:paraId="753D9D52" w14:textId="77777777" w:rsidR="007660D2" w:rsidRPr="00895712" w:rsidRDefault="007660D2" w:rsidP="00140628">
      <w:pPr>
        <w:pStyle w:val="ListParagraph"/>
        <w:numPr>
          <w:ilvl w:val="0"/>
          <w:numId w:val="1"/>
        </w:numPr>
        <w:spacing w:after="0" w:line="240" w:lineRule="auto"/>
        <w:ind w:left="567" w:hanging="567"/>
        <w:rPr>
          <w:rFonts w:ascii="Arial" w:eastAsia="SimSun" w:hAnsi="Arial" w:cs="Arial"/>
          <w:b/>
          <w:bCs/>
          <w:color w:val="5B9BD5" w:themeColor="accent5"/>
          <w:sz w:val="24"/>
          <w:szCs w:val="24"/>
        </w:rPr>
      </w:pPr>
      <w:r w:rsidRPr="00895712">
        <w:rPr>
          <w:rFonts w:ascii="Arial" w:eastAsia="SimSun" w:hAnsi="Arial" w:cs="Arial"/>
          <w:b/>
          <w:bCs/>
          <w:color w:val="5B9BD5" w:themeColor="accent5"/>
          <w:sz w:val="24"/>
          <w:szCs w:val="24"/>
        </w:rPr>
        <w:t>Constitution</w:t>
      </w:r>
    </w:p>
    <w:p w14:paraId="57C945E1" w14:textId="77777777" w:rsidR="0028669E" w:rsidRPr="007660D2" w:rsidRDefault="0028669E" w:rsidP="0028669E">
      <w:pPr>
        <w:pStyle w:val="ListParagraph"/>
        <w:spacing w:after="0" w:line="240" w:lineRule="auto"/>
        <w:ind w:left="360"/>
        <w:rPr>
          <w:rFonts w:ascii="Arial" w:eastAsia="SimSun" w:hAnsi="Arial" w:cs="Arial"/>
          <w:b/>
          <w:bCs/>
          <w:color w:val="9BBB59"/>
          <w:sz w:val="24"/>
          <w:szCs w:val="24"/>
        </w:rPr>
      </w:pPr>
    </w:p>
    <w:p w14:paraId="5F8AA293" w14:textId="61F57921" w:rsidR="004248B7" w:rsidRPr="000E6B56" w:rsidRDefault="003E65D0" w:rsidP="00140628">
      <w:pPr>
        <w:spacing w:after="0" w:line="240" w:lineRule="auto"/>
        <w:ind w:left="567"/>
        <w:contextualSpacing/>
        <w:rPr>
          <w:rFonts w:ascii="Arial" w:eastAsia="Calibri" w:hAnsi="Arial" w:cs="Arial"/>
          <w:sz w:val="24"/>
          <w:szCs w:val="24"/>
        </w:rPr>
      </w:pPr>
      <w:r>
        <w:rPr>
          <w:rFonts w:ascii="Arial" w:eastAsia="Calibri" w:hAnsi="Arial" w:cs="Arial"/>
          <w:sz w:val="24"/>
          <w:szCs w:val="24"/>
        </w:rPr>
        <w:t>NHS England has established local committee</w:t>
      </w:r>
      <w:r w:rsidR="001B53C1">
        <w:rPr>
          <w:rFonts w:ascii="Arial" w:eastAsia="Calibri" w:hAnsi="Arial" w:cs="Arial"/>
          <w:sz w:val="24"/>
          <w:szCs w:val="24"/>
        </w:rPr>
        <w:t>s</w:t>
      </w:r>
      <w:r>
        <w:rPr>
          <w:rFonts w:ascii="Arial" w:eastAsia="Calibri" w:hAnsi="Arial" w:cs="Arial"/>
          <w:sz w:val="24"/>
          <w:szCs w:val="24"/>
        </w:rPr>
        <w:t xml:space="preserve"> to be know</w:t>
      </w:r>
      <w:r w:rsidR="00530403">
        <w:rPr>
          <w:rFonts w:ascii="Arial" w:eastAsia="Calibri" w:hAnsi="Arial" w:cs="Arial"/>
          <w:sz w:val="24"/>
          <w:szCs w:val="24"/>
        </w:rPr>
        <w:t>n</w:t>
      </w:r>
      <w:r>
        <w:rPr>
          <w:rFonts w:ascii="Arial" w:eastAsia="Calibri" w:hAnsi="Arial" w:cs="Arial"/>
          <w:sz w:val="24"/>
          <w:szCs w:val="24"/>
        </w:rPr>
        <w:t xml:space="preserve"> as Pharmaceutical Services Regulations </w:t>
      </w:r>
      <w:r w:rsidR="0028669E">
        <w:rPr>
          <w:rFonts w:ascii="Arial" w:eastAsia="Calibri" w:hAnsi="Arial" w:cs="Arial"/>
          <w:sz w:val="24"/>
          <w:szCs w:val="24"/>
        </w:rPr>
        <w:t>C</w:t>
      </w:r>
      <w:r>
        <w:rPr>
          <w:rFonts w:ascii="Arial" w:eastAsia="Calibri" w:hAnsi="Arial" w:cs="Arial"/>
          <w:sz w:val="24"/>
          <w:szCs w:val="24"/>
        </w:rPr>
        <w:t>ommittees (PSRCs).  Each PSRC is authorised by NHS</w:t>
      </w:r>
      <w:r w:rsidR="00895712">
        <w:rPr>
          <w:rFonts w:ascii="Arial" w:eastAsia="Calibri" w:hAnsi="Arial" w:cs="Arial"/>
          <w:sz w:val="24"/>
          <w:szCs w:val="24"/>
        </w:rPr>
        <w:t xml:space="preserve"> England</w:t>
      </w:r>
      <w:r>
        <w:rPr>
          <w:rFonts w:ascii="Arial" w:eastAsia="Calibri" w:hAnsi="Arial" w:cs="Arial"/>
          <w:sz w:val="24"/>
          <w:szCs w:val="24"/>
        </w:rPr>
        <w:t xml:space="preserve"> to undertake any activity within these </w:t>
      </w:r>
      <w:r w:rsidR="00895712">
        <w:rPr>
          <w:rFonts w:ascii="Arial" w:eastAsia="Calibri" w:hAnsi="Arial" w:cs="Arial"/>
          <w:sz w:val="24"/>
          <w:szCs w:val="24"/>
        </w:rPr>
        <w:t>t</w:t>
      </w:r>
      <w:r>
        <w:rPr>
          <w:rFonts w:ascii="Arial" w:eastAsia="Calibri" w:hAnsi="Arial" w:cs="Arial"/>
          <w:sz w:val="24"/>
          <w:szCs w:val="24"/>
        </w:rPr>
        <w:t xml:space="preserve">erms of </w:t>
      </w:r>
      <w:r w:rsidR="00895712">
        <w:rPr>
          <w:rFonts w:ascii="Arial" w:eastAsia="Calibri" w:hAnsi="Arial" w:cs="Arial"/>
          <w:sz w:val="24"/>
          <w:szCs w:val="24"/>
        </w:rPr>
        <w:t>r</w:t>
      </w:r>
      <w:r>
        <w:rPr>
          <w:rFonts w:ascii="Arial" w:eastAsia="Calibri" w:hAnsi="Arial" w:cs="Arial"/>
          <w:sz w:val="24"/>
          <w:szCs w:val="24"/>
        </w:rPr>
        <w:t>eference (</w:t>
      </w:r>
      <w:proofErr w:type="spellStart"/>
      <w:r>
        <w:rPr>
          <w:rFonts w:ascii="Arial" w:eastAsia="Calibri" w:hAnsi="Arial" w:cs="Arial"/>
          <w:sz w:val="24"/>
          <w:szCs w:val="24"/>
        </w:rPr>
        <w:t>ToRs</w:t>
      </w:r>
      <w:proofErr w:type="spellEnd"/>
      <w:r>
        <w:rPr>
          <w:rFonts w:ascii="Arial" w:eastAsia="Calibri" w:hAnsi="Arial" w:cs="Arial"/>
          <w:sz w:val="24"/>
          <w:szCs w:val="24"/>
        </w:rPr>
        <w:t>).</w:t>
      </w:r>
    </w:p>
    <w:p w14:paraId="648BD970" w14:textId="77777777" w:rsidR="004248B7" w:rsidRPr="000E6B56" w:rsidRDefault="004248B7" w:rsidP="0028669E">
      <w:pPr>
        <w:spacing w:after="0" w:line="240" w:lineRule="auto"/>
        <w:contextualSpacing/>
        <w:jc w:val="both"/>
        <w:rPr>
          <w:rFonts w:ascii="Arial" w:eastAsia="Calibri" w:hAnsi="Arial" w:cs="Arial"/>
          <w:sz w:val="24"/>
          <w:szCs w:val="24"/>
        </w:rPr>
      </w:pPr>
    </w:p>
    <w:p w14:paraId="64217713" w14:textId="144B96DC" w:rsidR="004248B7" w:rsidRPr="000E6B56" w:rsidRDefault="003E65D0" w:rsidP="00140628">
      <w:pPr>
        <w:spacing w:after="0" w:line="240" w:lineRule="auto"/>
        <w:ind w:left="567"/>
        <w:contextualSpacing/>
        <w:rPr>
          <w:rFonts w:ascii="Arial" w:eastAsia="Calibri" w:hAnsi="Arial" w:cs="Arial"/>
          <w:sz w:val="24"/>
          <w:szCs w:val="24"/>
        </w:rPr>
      </w:pPr>
      <w:r>
        <w:rPr>
          <w:rFonts w:ascii="Arial" w:eastAsia="Calibri" w:hAnsi="Arial" w:cs="Arial"/>
          <w:sz w:val="24"/>
          <w:szCs w:val="24"/>
        </w:rPr>
        <w:t>ICBs are required to establish committees that are the equivalent of NHS England's PSRCs</w:t>
      </w:r>
      <w:r w:rsidR="00895712">
        <w:rPr>
          <w:rFonts w:ascii="Arial" w:eastAsia="Calibri" w:hAnsi="Arial" w:cs="Arial"/>
          <w:sz w:val="24"/>
          <w:szCs w:val="24"/>
        </w:rPr>
        <w:t xml:space="preserve"> as part of the delegation arrangements for ICBs to undertake the commissioning of community pharmacy services on behalf of NHS England</w:t>
      </w:r>
      <w:r>
        <w:rPr>
          <w:rFonts w:ascii="Arial" w:eastAsia="Calibri" w:hAnsi="Arial" w:cs="Arial"/>
          <w:sz w:val="24"/>
          <w:szCs w:val="24"/>
        </w:rPr>
        <w:t xml:space="preserve">.  Where such a </w:t>
      </w:r>
      <w:r w:rsidR="00895712">
        <w:rPr>
          <w:rFonts w:ascii="Arial" w:eastAsia="Calibri" w:hAnsi="Arial" w:cs="Arial"/>
          <w:sz w:val="24"/>
          <w:szCs w:val="24"/>
        </w:rPr>
        <w:t>sub</w:t>
      </w:r>
      <w:r>
        <w:rPr>
          <w:rFonts w:ascii="Arial" w:eastAsia="Calibri" w:hAnsi="Arial" w:cs="Arial"/>
          <w:sz w:val="24"/>
          <w:szCs w:val="24"/>
        </w:rPr>
        <w:t xml:space="preserve">committee is established and is properly constituted in line with the Regulations, it is authorised by NHS England to undertake any activity within these </w:t>
      </w:r>
      <w:proofErr w:type="spellStart"/>
      <w:r>
        <w:rPr>
          <w:rFonts w:ascii="Arial" w:eastAsia="Calibri" w:hAnsi="Arial" w:cs="Arial"/>
          <w:sz w:val="24"/>
          <w:szCs w:val="24"/>
        </w:rPr>
        <w:t>ToRs</w:t>
      </w:r>
      <w:proofErr w:type="spellEnd"/>
      <w:r>
        <w:rPr>
          <w:rFonts w:ascii="Arial" w:eastAsia="Calibri" w:hAnsi="Arial" w:cs="Arial"/>
          <w:sz w:val="24"/>
          <w:szCs w:val="24"/>
        </w:rPr>
        <w:t>.</w:t>
      </w:r>
    </w:p>
    <w:p w14:paraId="72E2087D" w14:textId="77777777" w:rsidR="004248B7" w:rsidRPr="000E6B56" w:rsidRDefault="004248B7" w:rsidP="00895712">
      <w:pPr>
        <w:spacing w:after="0" w:line="240" w:lineRule="auto"/>
        <w:contextualSpacing/>
        <w:rPr>
          <w:rFonts w:ascii="Arial" w:eastAsia="Calibri" w:hAnsi="Arial" w:cs="Arial"/>
          <w:sz w:val="24"/>
          <w:szCs w:val="24"/>
        </w:rPr>
      </w:pPr>
    </w:p>
    <w:p w14:paraId="646C9586" w14:textId="77777777" w:rsidR="004248B7" w:rsidRDefault="003E65D0" w:rsidP="00140628">
      <w:pPr>
        <w:spacing w:after="0" w:line="240" w:lineRule="auto"/>
        <w:ind w:left="567"/>
        <w:contextualSpacing/>
        <w:rPr>
          <w:rFonts w:ascii="Arial" w:eastAsia="Calibri" w:hAnsi="Arial" w:cs="Arial"/>
          <w:sz w:val="24"/>
          <w:szCs w:val="24"/>
        </w:rPr>
      </w:pPr>
      <w:r>
        <w:rPr>
          <w:rFonts w:ascii="Arial" w:eastAsia="Calibri" w:hAnsi="Arial" w:cs="Arial"/>
          <w:sz w:val="24"/>
          <w:szCs w:val="24"/>
        </w:rPr>
        <w:t>For the purpose of this document, 'the committee' or 'committee' is either the PSRC or the ICB equivalent.</w:t>
      </w:r>
    </w:p>
    <w:p w14:paraId="34B12819" w14:textId="77777777" w:rsidR="00020250" w:rsidRDefault="00020250" w:rsidP="00895712">
      <w:pPr>
        <w:spacing w:after="0" w:line="240" w:lineRule="auto"/>
        <w:contextualSpacing/>
        <w:rPr>
          <w:rFonts w:ascii="Arial" w:eastAsia="Calibri" w:hAnsi="Arial" w:cs="Arial"/>
          <w:sz w:val="24"/>
          <w:szCs w:val="24"/>
        </w:rPr>
      </w:pPr>
    </w:p>
    <w:p w14:paraId="0B5C0893" w14:textId="2D330102" w:rsidR="00020250" w:rsidRPr="000E6B56" w:rsidRDefault="00020250" w:rsidP="00140628">
      <w:pPr>
        <w:spacing w:after="0" w:line="240" w:lineRule="auto"/>
        <w:ind w:left="567"/>
        <w:contextualSpacing/>
        <w:rPr>
          <w:rFonts w:ascii="Arial" w:eastAsia="Calibri" w:hAnsi="Arial" w:cs="Arial"/>
          <w:sz w:val="24"/>
          <w:szCs w:val="24"/>
        </w:rPr>
      </w:pPr>
      <w:r>
        <w:rPr>
          <w:rFonts w:ascii="Arial" w:eastAsia="Calibri" w:hAnsi="Arial" w:cs="Arial"/>
          <w:sz w:val="24"/>
          <w:szCs w:val="24"/>
        </w:rPr>
        <w:t>NHS</w:t>
      </w:r>
      <w:r w:rsidR="00895712">
        <w:rPr>
          <w:rFonts w:ascii="Arial" w:eastAsia="Calibri" w:hAnsi="Arial" w:cs="Arial"/>
          <w:sz w:val="24"/>
          <w:szCs w:val="24"/>
        </w:rPr>
        <w:t xml:space="preserve"> England</w:t>
      </w:r>
      <w:r>
        <w:rPr>
          <w:rFonts w:ascii="Arial" w:eastAsia="Calibri" w:hAnsi="Arial" w:cs="Arial"/>
          <w:sz w:val="24"/>
          <w:szCs w:val="24"/>
        </w:rPr>
        <w:t xml:space="preserve"> has delegated decision-making to each committee in relation to the maters under the Regulations listed in the Pharmacy Manual where the decision-maker is listed as the </w:t>
      </w:r>
      <w:r w:rsidR="00140628">
        <w:rPr>
          <w:rFonts w:ascii="Arial" w:eastAsia="Calibri" w:hAnsi="Arial" w:cs="Arial"/>
          <w:sz w:val="24"/>
          <w:szCs w:val="24"/>
        </w:rPr>
        <w:t>c</w:t>
      </w:r>
      <w:r>
        <w:rPr>
          <w:rFonts w:ascii="Arial" w:eastAsia="Calibri" w:hAnsi="Arial" w:cs="Arial"/>
          <w:sz w:val="24"/>
          <w:szCs w:val="24"/>
        </w:rPr>
        <w:t>ommittee.</w:t>
      </w:r>
    </w:p>
    <w:p w14:paraId="64C1996F" w14:textId="77777777" w:rsidR="004248B7" w:rsidRPr="000E6B56" w:rsidRDefault="004248B7" w:rsidP="0028669E">
      <w:pPr>
        <w:pStyle w:val="ListParagraph"/>
        <w:spacing w:after="0" w:line="240" w:lineRule="auto"/>
        <w:ind w:left="360"/>
        <w:rPr>
          <w:rFonts w:ascii="Arial" w:eastAsia="SimSun" w:hAnsi="Arial" w:cs="Arial"/>
          <w:b/>
          <w:bCs/>
          <w:color w:val="9BBB59"/>
          <w:sz w:val="24"/>
          <w:szCs w:val="24"/>
        </w:rPr>
      </w:pPr>
    </w:p>
    <w:p w14:paraId="722833B4" w14:textId="77777777" w:rsidR="00B75468" w:rsidRPr="00895712" w:rsidRDefault="00B75468" w:rsidP="00140628">
      <w:pPr>
        <w:pStyle w:val="ListParagraph"/>
        <w:numPr>
          <w:ilvl w:val="0"/>
          <w:numId w:val="1"/>
        </w:numPr>
        <w:spacing w:after="0" w:line="240" w:lineRule="auto"/>
        <w:ind w:left="567" w:hanging="567"/>
        <w:rPr>
          <w:rFonts w:ascii="Arial" w:eastAsia="SimSun" w:hAnsi="Arial" w:cs="Arial"/>
          <w:b/>
          <w:bCs/>
          <w:color w:val="5B9BD5" w:themeColor="accent5"/>
          <w:sz w:val="24"/>
          <w:szCs w:val="24"/>
        </w:rPr>
      </w:pPr>
      <w:r w:rsidRPr="00895712">
        <w:rPr>
          <w:rFonts w:ascii="Arial" w:eastAsia="SimSun" w:hAnsi="Arial" w:cs="Arial"/>
          <w:b/>
          <w:bCs/>
          <w:color w:val="5B9BD5" w:themeColor="accent5"/>
          <w:sz w:val="24"/>
          <w:szCs w:val="24"/>
        </w:rPr>
        <w:t>A</w:t>
      </w:r>
      <w:r w:rsidR="007B799C" w:rsidRPr="00895712">
        <w:rPr>
          <w:rFonts w:ascii="Arial" w:eastAsia="SimSun" w:hAnsi="Arial" w:cs="Arial"/>
          <w:b/>
          <w:bCs/>
          <w:color w:val="5B9BD5" w:themeColor="accent5"/>
          <w:sz w:val="24"/>
          <w:szCs w:val="24"/>
        </w:rPr>
        <w:t>uthority</w:t>
      </w:r>
    </w:p>
    <w:p w14:paraId="0B546E50" w14:textId="77777777" w:rsidR="0028669E" w:rsidRPr="000E6B56" w:rsidRDefault="0028669E" w:rsidP="0028669E">
      <w:pPr>
        <w:pStyle w:val="ListParagraph"/>
        <w:spacing w:after="0" w:line="240" w:lineRule="auto"/>
        <w:ind w:left="360"/>
        <w:rPr>
          <w:rFonts w:ascii="Arial" w:eastAsia="SimSun" w:hAnsi="Arial" w:cs="Arial"/>
          <w:b/>
          <w:bCs/>
          <w:color w:val="9BBB59"/>
          <w:sz w:val="24"/>
          <w:szCs w:val="24"/>
        </w:rPr>
      </w:pPr>
    </w:p>
    <w:p w14:paraId="4118B885" w14:textId="7B5C130D" w:rsidR="00B75468" w:rsidRPr="000E6B56" w:rsidRDefault="00B75468" w:rsidP="00140628">
      <w:pPr>
        <w:spacing w:after="0" w:line="240" w:lineRule="auto"/>
        <w:ind w:left="567"/>
        <w:contextualSpacing/>
        <w:rPr>
          <w:rFonts w:ascii="Arial" w:eastAsia="Calibri" w:hAnsi="Arial" w:cs="Arial"/>
          <w:b/>
          <w:bCs/>
          <w:caps/>
          <w:sz w:val="24"/>
          <w:szCs w:val="24"/>
        </w:rPr>
      </w:pPr>
      <w:r w:rsidRPr="000E6B56">
        <w:rPr>
          <w:rFonts w:ascii="Arial" w:eastAsia="Calibri" w:hAnsi="Arial" w:cs="Arial"/>
          <w:sz w:val="24"/>
          <w:szCs w:val="24"/>
        </w:rPr>
        <w:t xml:space="preserve">The </w:t>
      </w:r>
      <w:bookmarkStart w:id="0" w:name="_Hlk125036589"/>
      <w:r w:rsidR="00AB069D" w:rsidRPr="000E6B56">
        <w:rPr>
          <w:rFonts w:ascii="Arial" w:eastAsia="Calibri" w:hAnsi="Arial" w:cs="Arial"/>
          <w:sz w:val="24"/>
          <w:szCs w:val="24"/>
        </w:rPr>
        <w:t>PSRC</w:t>
      </w:r>
      <w:bookmarkEnd w:id="0"/>
      <w:r w:rsidR="00A35D80" w:rsidRPr="000E6B56">
        <w:rPr>
          <w:rFonts w:ascii="Arial" w:eastAsia="Calibri" w:hAnsi="Arial" w:cs="Arial"/>
          <w:sz w:val="24"/>
          <w:szCs w:val="24"/>
        </w:rPr>
        <w:t xml:space="preserve"> </w:t>
      </w:r>
      <w:r w:rsidRPr="000E6B56">
        <w:rPr>
          <w:rFonts w:ascii="Arial" w:eastAsia="Calibri" w:hAnsi="Arial" w:cs="Arial"/>
          <w:sz w:val="24"/>
          <w:szCs w:val="24"/>
        </w:rPr>
        <w:t>is a formal</w:t>
      </w:r>
      <w:r w:rsidR="007A73AD">
        <w:rPr>
          <w:rFonts w:ascii="Arial" w:eastAsia="Calibri" w:hAnsi="Arial" w:cs="Arial"/>
          <w:sz w:val="24"/>
          <w:szCs w:val="24"/>
        </w:rPr>
        <w:t xml:space="preserve"> </w:t>
      </w:r>
      <w:r w:rsidR="00DE6854">
        <w:rPr>
          <w:rFonts w:ascii="Arial" w:eastAsia="Calibri" w:hAnsi="Arial" w:cs="Arial"/>
          <w:sz w:val="24"/>
          <w:szCs w:val="24"/>
        </w:rPr>
        <w:t>S</w:t>
      </w:r>
      <w:r w:rsidR="007A73AD">
        <w:rPr>
          <w:rFonts w:ascii="Arial" w:eastAsia="Calibri" w:hAnsi="Arial" w:cs="Arial"/>
          <w:sz w:val="24"/>
          <w:szCs w:val="24"/>
        </w:rPr>
        <w:t>ub</w:t>
      </w:r>
      <w:r w:rsidRPr="000E6B56">
        <w:rPr>
          <w:rFonts w:ascii="Arial" w:eastAsia="Calibri" w:hAnsi="Arial" w:cs="Arial"/>
          <w:sz w:val="24"/>
          <w:szCs w:val="24"/>
        </w:rPr>
        <w:t>committee of the ICB</w:t>
      </w:r>
      <w:r w:rsidR="00140628">
        <w:rPr>
          <w:rFonts w:ascii="Arial" w:eastAsia="Calibri" w:hAnsi="Arial" w:cs="Arial"/>
          <w:sz w:val="24"/>
          <w:szCs w:val="24"/>
        </w:rPr>
        <w:t xml:space="preserve"> Executive Committee</w:t>
      </w:r>
      <w:r w:rsidRPr="000E6B56">
        <w:rPr>
          <w:rFonts w:ascii="Arial" w:eastAsia="Calibri" w:hAnsi="Arial" w:cs="Arial"/>
          <w:sz w:val="24"/>
          <w:szCs w:val="24"/>
        </w:rPr>
        <w:t xml:space="preserve">. The Board has delegated authority to the </w:t>
      </w:r>
      <w:r w:rsidR="001B53C1">
        <w:rPr>
          <w:rFonts w:ascii="Arial" w:eastAsia="Calibri" w:hAnsi="Arial" w:cs="Arial"/>
          <w:sz w:val="24"/>
          <w:szCs w:val="24"/>
        </w:rPr>
        <w:t>Subc</w:t>
      </w:r>
      <w:r w:rsidRPr="000E6B56">
        <w:rPr>
          <w:rFonts w:ascii="Arial" w:eastAsia="Calibri" w:hAnsi="Arial" w:cs="Arial"/>
          <w:sz w:val="24"/>
          <w:szCs w:val="24"/>
        </w:rPr>
        <w:t xml:space="preserve">ommittee as set out in the Scheme of </w:t>
      </w:r>
      <w:r w:rsidR="004248B7" w:rsidRPr="000E6B56">
        <w:rPr>
          <w:rFonts w:ascii="Arial" w:eastAsia="Calibri" w:hAnsi="Arial" w:cs="Arial"/>
          <w:sz w:val="24"/>
          <w:szCs w:val="24"/>
        </w:rPr>
        <w:t xml:space="preserve">Reservation and </w:t>
      </w:r>
      <w:r w:rsidRPr="000E6B56">
        <w:rPr>
          <w:rFonts w:ascii="Arial" w:eastAsia="Calibri" w:hAnsi="Arial" w:cs="Arial"/>
          <w:sz w:val="24"/>
          <w:szCs w:val="24"/>
        </w:rPr>
        <w:t>Delegation and may be amended from time to time.</w:t>
      </w:r>
    </w:p>
    <w:p w14:paraId="6C6BAEC4" w14:textId="77777777" w:rsidR="00B75468" w:rsidRPr="000E6B56" w:rsidRDefault="00B75468" w:rsidP="0028669E">
      <w:pPr>
        <w:spacing w:after="0" w:line="240" w:lineRule="auto"/>
        <w:contextualSpacing/>
        <w:jc w:val="both"/>
        <w:rPr>
          <w:rFonts w:ascii="Arial" w:eastAsia="Calibri" w:hAnsi="Arial" w:cs="Arial"/>
          <w:sz w:val="24"/>
          <w:szCs w:val="24"/>
        </w:rPr>
      </w:pPr>
    </w:p>
    <w:p w14:paraId="7A1C76FB" w14:textId="6003C91F" w:rsidR="00B75468" w:rsidRPr="000E6B56" w:rsidRDefault="00B75468" w:rsidP="00140628">
      <w:pPr>
        <w:spacing w:after="0" w:line="240" w:lineRule="auto"/>
        <w:ind w:left="567"/>
        <w:contextualSpacing/>
        <w:rPr>
          <w:rFonts w:ascii="Arial" w:eastAsia="Calibri" w:hAnsi="Arial" w:cs="Arial"/>
          <w:sz w:val="24"/>
          <w:szCs w:val="24"/>
        </w:rPr>
      </w:pPr>
      <w:r w:rsidRPr="000E6B56">
        <w:rPr>
          <w:rFonts w:ascii="Arial" w:eastAsia="Calibri" w:hAnsi="Arial" w:cs="Arial"/>
          <w:sz w:val="24"/>
          <w:szCs w:val="24"/>
        </w:rPr>
        <w:t xml:space="preserve">The </w:t>
      </w:r>
      <w:r w:rsidR="00AB069D" w:rsidRPr="000E6B56">
        <w:rPr>
          <w:rFonts w:ascii="Arial" w:eastAsia="Calibri" w:hAnsi="Arial" w:cs="Arial"/>
          <w:sz w:val="24"/>
          <w:szCs w:val="24"/>
        </w:rPr>
        <w:t xml:space="preserve">PSRC </w:t>
      </w:r>
      <w:r w:rsidRPr="000E6B56">
        <w:rPr>
          <w:rFonts w:ascii="Arial" w:eastAsia="Calibri" w:hAnsi="Arial" w:cs="Arial"/>
          <w:sz w:val="24"/>
          <w:szCs w:val="24"/>
        </w:rPr>
        <w:t xml:space="preserve">holds only those powers as delegated in these </w:t>
      </w:r>
      <w:r w:rsidR="00895712">
        <w:rPr>
          <w:rFonts w:ascii="Arial" w:eastAsia="Calibri" w:hAnsi="Arial" w:cs="Arial"/>
          <w:sz w:val="24"/>
          <w:szCs w:val="24"/>
        </w:rPr>
        <w:t>t</w:t>
      </w:r>
      <w:r w:rsidRPr="000E6B56">
        <w:rPr>
          <w:rFonts w:ascii="Arial" w:eastAsia="Calibri" w:hAnsi="Arial" w:cs="Arial"/>
          <w:sz w:val="24"/>
          <w:szCs w:val="24"/>
        </w:rPr>
        <w:t xml:space="preserve">erms of </w:t>
      </w:r>
      <w:r w:rsidR="00895712">
        <w:rPr>
          <w:rFonts w:ascii="Arial" w:eastAsia="Calibri" w:hAnsi="Arial" w:cs="Arial"/>
          <w:sz w:val="24"/>
          <w:szCs w:val="24"/>
        </w:rPr>
        <w:t>r</w:t>
      </w:r>
      <w:r w:rsidRPr="000E6B56">
        <w:rPr>
          <w:rFonts w:ascii="Arial" w:eastAsia="Calibri" w:hAnsi="Arial" w:cs="Arial"/>
          <w:sz w:val="24"/>
          <w:szCs w:val="24"/>
        </w:rPr>
        <w:t xml:space="preserve">eference </w:t>
      </w:r>
      <w:r w:rsidR="00020250">
        <w:rPr>
          <w:rFonts w:ascii="Arial" w:eastAsia="Calibri" w:hAnsi="Arial" w:cs="Arial"/>
          <w:sz w:val="24"/>
          <w:szCs w:val="24"/>
        </w:rPr>
        <w:t>(as defined by the Pharmacy Manual</w:t>
      </w:r>
      <w:r w:rsidR="009B5623">
        <w:rPr>
          <w:rFonts w:ascii="Arial" w:eastAsia="Calibri" w:hAnsi="Arial" w:cs="Arial"/>
          <w:sz w:val="24"/>
          <w:szCs w:val="24"/>
        </w:rPr>
        <w:t xml:space="preserve"> (Version 2, 10 February 2023) and approved</w:t>
      </w:r>
      <w:r w:rsidRPr="000E6B56">
        <w:rPr>
          <w:rFonts w:ascii="Arial" w:eastAsia="Calibri" w:hAnsi="Arial" w:cs="Arial"/>
          <w:sz w:val="24"/>
          <w:szCs w:val="24"/>
        </w:rPr>
        <w:t xml:space="preserve"> by the ICB</w:t>
      </w:r>
      <w:r w:rsidR="004248B7" w:rsidRPr="000E6B56">
        <w:rPr>
          <w:rFonts w:ascii="Arial" w:eastAsia="Calibri" w:hAnsi="Arial" w:cs="Arial"/>
          <w:sz w:val="24"/>
          <w:szCs w:val="24"/>
        </w:rPr>
        <w:t xml:space="preserve"> Board.</w:t>
      </w:r>
    </w:p>
    <w:p w14:paraId="310D7D09" w14:textId="77777777" w:rsidR="007E1587" w:rsidRPr="000E6B56" w:rsidRDefault="007E1587" w:rsidP="0028669E">
      <w:pPr>
        <w:spacing w:after="0" w:line="240" w:lineRule="auto"/>
        <w:contextualSpacing/>
        <w:jc w:val="both"/>
        <w:rPr>
          <w:rFonts w:ascii="Arial" w:eastAsia="Calibri" w:hAnsi="Arial" w:cs="Arial"/>
          <w:sz w:val="24"/>
          <w:szCs w:val="24"/>
        </w:rPr>
      </w:pPr>
    </w:p>
    <w:p w14:paraId="6D8293DD" w14:textId="149DADBA" w:rsidR="007E1587" w:rsidRDefault="007E1587" w:rsidP="00140628">
      <w:pPr>
        <w:spacing w:after="0" w:line="240" w:lineRule="auto"/>
        <w:ind w:left="567"/>
        <w:contextualSpacing/>
        <w:rPr>
          <w:rFonts w:ascii="Arial" w:eastAsia="Calibri" w:hAnsi="Arial" w:cs="Arial"/>
          <w:sz w:val="24"/>
          <w:szCs w:val="24"/>
        </w:rPr>
      </w:pPr>
      <w:r w:rsidRPr="000E6B56">
        <w:rPr>
          <w:rFonts w:ascii="Arial" w:eastAsia="Calibri" w:hAnsi="Arial" w:cs="Arial"/>
          <w:sz w:val="24"/>
          <w:szCs w:val="24"/>
        </w:rPr>
        <w:t xml:space="preserve">The </w:t>
      </w:r>
      <w:r w:rsidR="00140628">
        <w:rPr>
          <w:rFonts w:ascii="Arial" w:eastAsia="Calibri" w:hAnsi="Arial" w:cs="Arial"/>
          <w:sz w:val="24"/>
          <w:szCs w:val="24"/>
        </w:rPr>
        <w:t>PSRC</w:t>
      </w:r>
      <w:r w:rsidRPr="000E6B56">
        <w:rPr>
          <w:rFonts w:ascii="Arial" w:eastAsia="Calibri" w:hAnsi="Arial" w:cs="Arial"/>
          <w:sz w:val="24"/>
          <w:szCs w:val="24"/>
        </w:rPr>
        <w:t xml:space="preserve"> will determine all matters within its </w:t>
      </w:r>
      <w:proofErr w:type="spellStart"/>
      <w:r w:rsidR="003E65D0">
        <w:rPr>
          <w:rFonts w:ascii="Arial" w:eastAsia="Calibri" w:hAnsi="Arial" w:cs="Arial"/>
          <w:sz w:val="24"/>
          <w:szCs w:val="24"/>
        </w:rPr>
        <w:t>ToRs</w:t>
      </w:r>
      <w:proofErr w:type="spellEnd"/>
      <w:r w:rsidRPr="000E6B56">
        <w:rPr>
          <w:rFonts w:ascii="Arial" w:eastAsia="Calibri" w:hAnsi="Arial" w:cs="Arial"/>
          <w:sz w:val="24"/>
          <w:szCs w:val="24"/>
        </w:rPr>
        <w:t xml:space="preserve"> and is authorised by the ICB to obtain such outside legal or other independent professional </w:t>
      </w:r>
      <w:proofErr w:type="spellStart"/>
      <w:r w:rsidRPr="000E6B56">
        <w:rPr>
          <w:rFonts w:ascii="Arial" w:eastAsia="Calibri" w:hAnsi="Arial" w:cs="Arial"/>
          <w:sz w:val="24"/>
          <w:szCs w:val="24"/>
        </w:rPr>
        <w:t>advise</w:t>
      </w:r>
      <w:proofErr w:type="spellEnd"/>
      <w:r w:rsidRPr="000E6B56">
        <w:rPr>
          <w:rFonts w:ascii="Arial" w:eastAsia="Calibri" w:hAnsi="Arial" w:cs="Arial"/>
          <w:sz w:val="24"/>
          <w:szCs w:val="24"/>
        </w:rPr>
        <w:t xml:space="preserve"> and to co-opt persons with the relevant experience and expertise if it considers this necessary.  Co-opted persons will not have voting rights and if required by the Chair will leave the meeting whilst the decision is made. </w:t>
      </w:r>
    </w:p>
    <w:p w14:paraId="456F7E12" w14:textId="77777777" w:rsidR="007B799C" w:rsidRPr="000E6B56" w:rsidRDefault="007B799C" w:rsidP="0028669E">
      <w:pPr>
        <w:spacing w:after="0" w:line="240" w:lineRule="auto"/>
        <w:contextualSpacing/>
        <w:jc w:val="both"/>
        <w:rPr>
          <w:rFonts w:ascii="Arial" w:eastAsia="Calibri" w:hAnsi="Arial" w:cs="Arial"/>
          <w:sz w:val="24"/>
          <w:szCs w:val="24"/>
        </w:rPr>
      </w:pPr>
    </w:p>
    <w:p w14:paraId="61444AE2" w14:textId="77777777" w:rsidR="007B799C" w:rsidRPr="00895712" w:rsidRDefault="007B799C" w:rsidP="00140628">
      <w:pPr>
        <w:numPr>
          <w:ilvl w:val="0"/>
          <w:numId w:val="1"/>
        </w:numPr>
        <w:spacing w:after="0" w:line="240" w:lineRule="auto"/>
        <w:ind w:left="567" w:hanging="567"/>
        <w:contextualSpacing/>
        <w:jc w:val="both"/>
        <w:rPr>
          <w:rFonts w:ascii="Arial" w:eastAsia="SimSun" w:hAnsi="Arial" w:cs="Arial"/>
          <w:b/>
          <w:bCs/>
          <w:color w:val="5B9BD5" w:themeColor="accent5"/>
          <w:sz w:val="24"/>
          <w:szCs w:val="24"/>
        </w:rPr>
      </w:pPr>
      <w:r w:rsidRPr="00895712">
        <w:rPr>
          <w:rFonts w:ascii="Arial" w:eastAsia="SimSun" w:hAnsi="Arial" w:cs="Arial"/>
          <w:b/>
          <w:bCs/>
          <w:color w:val="5B9BD5" w:themeColor="accent5"/>
          <w:sz w:val="24"/>
          <w:szCs w:val="24"/>
        </w:rPr>
        <w:t>Purpose of the Committee</w:t>
      </w:r>
    </w:p>
    <w:p w14:paraId="13F9B1D9" w14:textId="77777777" w:rsidR="007B799C" w:rsidRPr="0028669E" w:rsidRDefault="007B799C" w:rsidP="0028669E">
      <w:pPr>
        <w:spacing w:after="0" w:line="240" w:lineRule="auto"/>
        <w:ind w:left="360"/>
        <w:contextualSpacing/>
        <w:jc w:val="both"/>
        <w:rPr>
          <w:rFonts w:ascii="Arial" w:eastAsia="Calibri" w:hAnsi="Arial" w:cs="Arial"/>
          <w:b/>
          <w:bCs/>
          <w:caps/>
          <w:sz w:val="24"/>
          <w:szCs w:val="24"/>
        </w:rPr>
      </w:pPr>
    </w:p>
    <w:p w14:paraId="6D287AF7" w14:textId="77777777" w:rsidR="007B799C" w:rsidRPr="009B5623" w:rsidRDefault="007B799C" w:rsidP="00140628">
      <w:pPr>
        <w:spacing w:after="0" w:line="240" w:lineRule="auto"/>
        <w:ind w:left="567"/>
        <w:contextualSpacing/>
        <w:rPr>
          <w:rFonts w:ascii="Arial" w:eastAsia="Calibri" w:hAnsi="Arial" w:cs="Arial"/>
          <w:sz w:val="24"/>
          <w:szCs w:val="24"/>
        </w:rPr>
      </w:pPr>
      <w:bookmarkStart w:id="1" w:name="_Hlk86258210"/>
      <w:r w:rsidRPr="009B5623">
        <w:rPr>
          <w:rFonts w:ascii="Arial" w:eastAsia="Calibri" w:hAnsi="Arial" w:cs="Arial"/>
          <w:sz w:val="24"/>
          <w:szCs w:val="24"/>
        </w:rPr>
        <w:t xml:space="preserve">The </w:t>
      </w:r>
      <w:bookmarkStart w:id="2" w:name="_Hlk125037356"/>
      <w:r w:rsidR="00AB069D" w:rsidRPr="009B5623">
        <w:rPr>
          <w:rFonts w:ascii="Arial" w:eastAsia="Calibri" w:hAnsi="Arial" w:cs="Arial"/>
          <w:sz w:val="24"/>
          <w:szCs w:val="24"/>
        </w:rPr>
        <w:t>PSRC</w:t>
      </w:r>
      <w:bookmarkEnd w:id="2"/>
      <w:r w:rsidR="00AB069D" w:rsidRPr="009B5623">
        <w:rPr>
          <w:rFonts w:ascii="Arial" w:eastAsia="Calibri" w:hAnsi="Arial" w:cs="Arial"/>
          <w:sz w:val="24"/>
          <w:szCs w:val="24"/>
        </w:rPr>
        <w:t xml:space="preserve"> </w:t>
      </w:r>
      <w:r w:rsidRPr="009B5623">
        <w:rPr>
          <w:rFonts w:ascii="Arial" w:eastAsia="Calibri" w:hAnsi="Arial" w:cs="Arial"/>
          <w:sz w:val="24"/>
          <w:szCs w:val="24"/>
        </w:rPr>
        <w:t xml:space="preserve">has been established </w:t>
      </w:r>
      <w:r w:rsidR="00B879CF" w:rsidRPr="009B5623">
        <w:rPr>
          <w:rFonts w:ascii="Arial" w:eastAsia="Calibri" w:hAnsi="Arial" w:cs="Arial"/>
          <w:sz w:val="24"/>
          <w:szCs w:val="24"/>
        </w:rPr>
        <w:t xml:space="preserve">to </w:t>
      </w:r>
      <w:r w:rsidR="00215304" w:rsidRPr="009B5623">
        <w:rPr>
          <w:rFonts w:ascii="Arial" w:eastAsia="Calibri" w:hAnsi="Arial" w:cs="Arial"/>
          <w:sz w:val="24"/>
          <w:szCs w:val="24"/>
        </w:rPr>
        <w:t xml:space="preserve">receive and </w:t>
      </w:r>
      <w:r w:rsidR="00B879CF" w:rsidRPr="009B5623">
        <w:rPr>
          <w:rFonts w:ascii="Arial" w:eastAsia="Calibri" w:hAnsi="Arial" w:cs="Arial"/>
          <w:sz w:val="24"/>
          <w:szCs w:val="24"/>
        </w:rPr>
        <w:t>determine, on behalf of</w:t>
      </w:r>
      <w:r w:rsidRPr="009B5623">
        <w:rPr>
          <w:rFonts w:ascii="Arial" w:eastAsia="Calibri" w:hAnsi="Arial" w:cs="Arial"/>
          <w:sz w:val="24"/>
          <w:szCs w:val="24"/>
        </w:rPr>
        <w:t xml:space="preserve"> the ICB</w:t>
      </w:r>
      <w:r w:rsidR="00B879CF" w:rsidRPr="009B5623">
        <w:rPr>
          <w:rFonts w:ascii="Arial" w:eastAsia="Calibri" w:hAnsi="Arial" w:cs="Arial"/>
          <w:sz w:val="24"/>
          <w:szCs w:val="24"/>
        </w:rPr>
        <w:t xml:space="preserve">, applications submitted under the NHS (Pharmaceutical Services) Regulations </w:t>
      </w:r>
      <w:r w:rsidR="009B5623">
        <w:rPr>
          <w:rFonts w:ascii="Arial" w:eastAsia="Calibri" w:hAnsi="Arial" w:cs="Arial"/>
          <w:sz w:val="24"/>
          <w:szCs w:val="24"/>
        </w:rPr>
        <w:t>2013</w:t>
      </w:r>
      <w:r w:rsidR="00B879CF" w:rsidRPr="009B5623">
        <w:rPr>
          <w:rFonts w:ascii="Arial" w:eastAsia="Calibri" w:hAnsi="Arial" w:cs="Arial"/>
          <w:sz w:val="24"/>
          <w:szCs w:val="24"/>
        </w:rPr>
        <w:t xml:space="preserve"> as amended</w:t>
      </w:r>
      <w:r w:rsidR="009B5623">
        <w:rPr>
          <w:rFonts w:ascii="Arial" w:eastAsia="Calibri" w:hAnsi="Arial" w:cs="Arial"/>
          <w:sz w:val="24"/>
          <w:szCs w:val="24"/>
        </w:rPr>
        <w:t xml:space="preserve"> ('the Regulations').  </w:t>
      </w:r>
    </w:p>
    <w:bookmarkEnd w:id="1"/>
    <w:p w14:paraId="45024B38" w14:textId="77777777" w:rsidR="007B799C" w:rsidRDefault="007B799C" w:rsidP="0028669E">
      <w:pPr>
        <w:spacing w:after="0" w:line="240" w:lineRule="auto"/>
        <w:contextualSpacing/>
        <w:jc w:val="both"/>
        <w:rPr>
          <w:rFonts w:ascii="Arial" w:eastAsia="Calibri" w:hAnsi="Arial" w:cs="Arial"/>
          <w:sz w:val="24"/>
          <w:szCs w:val="24"/>
        </w:rPr>
      </w:pPr>
    </w:p>
    <w:p w14:paraId="040C75FE" w14:textId="77777777" w:rsidR="00B75468" w:rsidRPr="00895712" w:rsidRDefault="00B75468" w:rsidP="00140628">
      <w:pPr>
        <w:numPr>
          <w:ilvl w:val="0"/>
          <w:numId w:val="1"/>
        </w:numPr>
        <w:spacing w:after="0" w:line="240" w:lineRule="auto"/>
        <w:ind w:left="567" w:hanging="567"/>
        <w:contextualSpacing/>
        <w:jc w:val="both"/>
        <w:rPr>
          <w:rFonts w:ascii="Arial" w:eastAsia="SimSun" w:hAnsi="Arial" w:cs="Arial"/>
          <w:b/>
          <w:bCs/>
          <w:color w:val="5B9BD5" w:themeColor="accent5"/>
          <w:sz w:val="24"/>
          <w:szCs w:val="24"/>
        </w:rPr>
      </w:pPr>
      <w:r w:rsidRPr="00895712">
        <w:rPr>
          <w:rFonts w:ascii="Arial" w:eastAsia="SimSun" w:hAnsi="Arial" w:cs="Arial"/>
          <w:b/>
          <w:bCs/>
          <w:color w:val="5B9BD5" w:themeColor="accent5"/>
          <w:sz w:val="24"/>
          <w:szCs w:val="24"/>
        </w:rPr>
        <w:t>Membership</w:t>
      </w:r>
      <w:r w:rsidR="006167DC" w:rsidRPr="00895712">
        <w:rPr>
          <w:rFonts w:ascii="Arial" w:eastAsia="SimSun" w:hAnsi="Arial" w:cs="Arial"/>
          <w:b/>
          <w:bCs/>
          <w:color w:val="5B9BD5" w:themeColor="accent5"/>
          <w:sz w:val="24"/>
          <w:szCs w:val="24"/>
        </w:rPr>
        <w:t xml:space="preserve"> </w:t>
      </w:r>
      <w:r w:rsidR="007B799C" w:rsidRPr="00895712">
        <w:rPr>
          <w:rFonts w:ascii="Arial" w:eastAsia="SimSun" w:hAnsi="Arial" w:cs="Arial"/>
          <w:b/>
          <w:bCs/>
          <w:color w:val="5B9BD5" w:themeColor="accent5"/>
          <w:sz w:val="24"/>
          <w:szCs w:val="24"/>
        </w:rPr>
        <w:t>and Attendance</w:t>
      </w:r>
    </w:p>
    <w:p w14:paraId="6D175229" w14:textId="77777777" w:rsidR="004248B7" w:rsidRPr="000E6B56" w:rsidRDefault="004248B7" w:rsidP="0028669E">
      <w:pPr>
        <w:spacing w:after="0" w:line="240" w:lineRule="auto"/>
        <w:ind w:left="360"/>
        <w:contextualSpacing/>
        <w:jc w:val="both"/>
        <w:rPr>
          <w:rFonts w:ascii="Arial" w:eastAsia="Calibri" w:hAnsi="Arial" w:cs="Arial"/>
          <w:b/>
          <w:bCs/>
          <w:caps/>
          <w:sz w:val="24"/>
          <w:szCs w:val="24"/>
        </w:rPr>
      </w:pPr>
    </w:p>
    <w:p w14:paraId="32B7D446" w14:textId="77777777" w:rsidR="004248B7" w:rsidRPr="000E6B56" w:rsidRDefault="004248B7" w:rsidP="00140628">
      <w:pPr>
        <w:spacing w:after="0" w:line="240" w:lineRule="auto"/>
        <w:ind w:left="567"/>
        <w:contextualSpacing/>
        <w:rPr>
          <w:rFonts w:ascii="Arial" w:eastAsia="Calibri" w:hAnsi="Arial" w:cs="Arial"/>
          <w:sz w:val="24"/>
          <w:szCs w:val="24"/>
        </w:rPr>
      </w:pPr>
      <w:r w:rsidRPr="000E6B56">
        <w:rPr>
          <w:rFonts w:ascii="Arial" w:eastAsia="Calibri" w:hAnsi="Arial" w:cs="Arial"/>
          <w:sz w:val="24"/>
          <w:szCs w:val="24"/>
        </w:rPr>
        <w:t xml:space="preserve">The </w:t>
      </w:r>
      <w:r w:rsidR="00DE6854">
        <w:rPr>
          <w:rFonts w:ascii="Arial" w:eastAsia="Calibri" w:hAnsi="Arial" w:cs="Arial"/>
          <w:sz w:val="24"/>
          <w:szCs w:val="24"/>
        </w:rPr>
        <w:t>PSR</w:t>
      </w:r>
      <w:r w:rsidR="0024113D">
        <w:rPr>
          <w:rFonts w:ascii="Arial" w:eastAsia="Calibri" w:hAnsi="Arial" w:cs="Arial"/>
          <w:sz w:val="24"/>
          <w:szCs w:val="24"/>
        </w:rPr>
        <w:t>C</w:t>
      </w:r>
      <w:r w:rsidRPr="000E6B56">
        <w:rPr>
          <w:rFonts w:ascii="Arial" w:eastAsia="Calibri" w:hAnsi="Arial" w:cs="Arial"/>
          <w:sz w:val="24"/>
          <w:szCs w:val="24"/>
        </w:rPr>
        <w:t xml:space="preserve"> members shall be appointed by the Board in accordance with the ICB Constitution</w:t>
      </w:r>
      <w:r w:rsidR="00215304" w:rsidRPr="000E6B56">
        <w:rPr>
          <w:rFonts w:ascii="Arial" w:eastAsia="Calibri" w:hAnsi="Arial" w:cs="Arial"/>
          <w:sz w:val="24"/>
          <w:szCs w:val="24"/>
        </w:rPr>
        <w:t xml:space="preserve"> and in line NHS (Pharmaceutical and Local Pharmaceutical Services) Regulation 2013. </w:t>
      </w:r>
    </w:p>
    <w:p w14:paraId="51575220" w14:textId="77777777" w:rsidR="004248B7" w:rsidRPr="000E6B56" w:rsidRDefault="004248B7" w:rsidP="00895712">
      <w:pPr>
        <w:spacing w:after="0" w:line="240" w:lineRule="auto"/>
        <w:ind w:left="426"/>
        <w:contextualSpacing/>
        <w:rPr>
          <w:rFonts w:ascii="Arial" w:eastAsia="Calibri" w:hAnsi="Arial" w:cs="Arial"/>
          <w:sz w:val="24"/>
          <w:szCs w:val="24"/>
        </w:rPr>
      </w:pPr>
    </w:p>
    <w:p w14:paraId="1DF68785" w14:textId="2B9C96AC" w:rsidR="00804426" w:rsidRPr="000E6B56" w:rsidRDefault="00C21EF6" w:rsidP="00140628">
      <w:pPr>
        <w:spacing w:after="0" w:line="240" w:lineRule="auto"/>
        <w:ind w:left="567"/>
        <w:contextualSpacing/>
        <w:rPr>
          <w:rFonts w:ascii="Arial" w:eastAsia="Calibri" w:hAnsi="Arial" w:cs="Arial"/>
          <w:sz w:val="24"/>
          <w:szCs w:val="24"/>
        </w:rPr>
      </w:pPr>
      <w:r w:rsidRPr="000E6B56">
        <w:rPr>
          <w:rFonts w:ascii="Arial" w:eastAsia="Calibri" w:hAnsi="Arial" w:cs="Arial"/>
          <w:sz w:val="24"/>
          <w:szCs w:val="24"/>
        </w:rPr>
        <w:t>In line with the above requirements t</w:t>
      </w:r>
      <w:r w:rsidR="004248B7" w:rsidRPr="000E6B56">
        <w:rPr>
          <w:rFonts w:ascii="Arial" w:eastAsia="Calibri" w:hAnsi="Arial" w:cs="Arial"/>
          <w:sz w:val="24"/>
          <w:szCs w:val="24"/>
        </w:rPr>
        <w:t xml:space="preserve">he Board will appoint </w:t>
      </w:r>
      <w:r w:rsidRPr="000E6B56">
        <w:rPr>
          <w:rFonts w:ascii="Arial" w:eastAsia="Calibri" w:hAnsi="Arial" w:cs="Arial"/>
          <w:sz w:val="24"/>
          <w:szCs w:val="24"/>
        </w:rPr>
        <w:t xml:space="preserve">the following to be the </w:t>
      </w:r>
      <w:r w:rsidR="00140628">
        <w:rPr>
          <w:rFonts w:ascii="Arial" w:eastAsia="Calibri" w:hAnsi="Arial" w:cs="Arial"/>
          <w:sz w:val="24"/>
          <w:szCs w:val="24"/>
        </w:rPr>
        <w:t>m</w:t>
      </w:r>
      <w:r w:rsidRPr="000E6B56">
        <w:rPr>
          <w:rFonts w:ascii="Arial" w:eastAsia="Calibri" w:hAnsi="Arial" w:cs="Arial"/>
          <w:sz w:val="24"/>
          <w:szCs w:val="24"/>
        </w:rPr>
        <w:t xml:space="preserve">embership of the </w:t>
      </w:r>
      <w:r w:rsidR="00DE6854">
        <w:rPr>
          <w:rFonts w:ascii="Arial" w:eastAsia="Calibri" w:hAnsi="Arial" w:cs="Arial"/>
          <w:sz w:val="24"/>
          <w:szCs w:val="24"/>
        </w:rPr>
        <w:t>PS</w:t>
      </w:r>
      <w:r w:rsidR="0024113D">
        <w:rPr>
          <w:rFonts w:ascii="Arial" w:eastAsia="Calibri" w:hAnsi="Arial" w:cs="Arial"/>
          <w:sz w:val="24"/>
          <w:szCs w:val="24"/>
        </w:rPr>
        <w:t>RC</w:t>
      </w:r>
      <w:r w:rsidRPr="000E6B56">
        <w:rPr>
          <w:rFonts w:ascii="Arial" w:eastAsia="Calibri" w:hAnsi="Arial" w:cs="Arial"/>
          <w:sz w:val="24"/>
          <w:szCs w:val="24"/>
        </w:rPr>
        <w:t>:</w:t>
      </w:r>
    </w:p>
    <w:p w14:paraId="15B9B064" w14:textId="77777777" w:rsidR="00C21EF6" w:rsidRPr="000E6B56" w:rsidRDefault="00C21EF6" w:rsidP="00895712">
      <w:pPr>
        <w:spacing w:after="0" w:line="240" w:lineRule="auto"/>
        <w:ind w:left="426"/>
        <w:contextualSpacing/>
        <w:rPr>
          <w:rFonts w:ascii="Arial" w:eastAsia="Calibri" w:hAnsi="Arial" w:cs="Arial"/>
          <w:sz w:val="24"/>
          <w:szCs w:val="24"/>
        </w:rPr>
      </w:pPr>
    </w:p>
    <w:p w14:paraId="0FB0B337" w14:textId="77777777" w:rsidR="004169DD" w:rsidRDefault="00511D6A" w:rsidP="00895712">
      <w:pPr>
        <w:pStyle w:val="ListParagraph"/>
        <w:numPr>
          <w:ilvl w:val="0"/>
          <w:numId w:val="10"/>
        </w:numPr>
        <w:spacing w:after="0" w:line="240" w:lineRule="auto"/>
        <w:ind w:left="1276"/>
        <w:rPr>
          <w:rFonts w:ascii="Arial" w:eastAsia="Calibri" w:hAnsi="Arial" w:cs="Arial"/>
          <w:sz w:val="24"/>
          <w:szCs w:val="24"/>
        </w:rPr>
      </w:pPr>
      <w:r>
        <w:rPr>
          <w:rFonts w:ascii="Arial" w:eastAsia="Calibri" w:hAnsi="Arial" w:cs="Arial"/>
          <w:sz w:val="24"/>
          <w:szCs w:val="24"/>
        </w:rPr>
        <w:t>Head of</w:t>
      </w:r>
      <w:r w:rsidR="00FE2405" w:rsidRPr="000E6B56">
        <w:rPr>
          <w:rFonts w:ascii="Arial" w:eastAsia="Calibri" w:hAnsi="Arial" w:cs="Arial"/>
          <w:sz w:val="24"/>
          <w:szCs w:val="24"/>
        </w:rPr>
        <w:t xml:space="preserve"> Primary Care </w:t>
      </w:r>
      <w:r>
        <w:rPr>
          <w:rFonts w:ascii="Arial" w:eastAsia="Calibri" w:hAnsi="Arial" w:cs="Arial"/>
          <w:sz w:val="24"/>
          <w:szCs w:val="24"/>
        </w:rPr>
        <w:t>(or their suitable, nominated deputy) who will Chair the meeting</w:t>
      </w:r>
      <w:r w:rsidR="007A73AD">
        <w:rPr>
          <w:rFonts w:ascii="Arial" w:eastAsia="Calibri" w:hAnsi="Arial" w:cs="Arial"/>
          <w:sz w:val="24"/>
          <w:szCs w:val="24"/>
        </w:rPr>
        <w:t xml:space="preserve"> (Chair)</w:t>
      </w:r>
    </w:p>
    <w:p w14:paraId="08D7F204" w14:textId="77777777" w:rsidR="00FE2405" w:rsidRPr="00511D6A" w:rsidRDefault="007A73AD" w:rsidP="00895712">
      <w:pPr>
        <w:pStyle w:val="ListParagraph"/>
        <w:numPr>
          <w:ilvl w:val="0"/>
          <w:numId w:val="10"/>
        </w:numPr>
        <w:spacing w:after="0" w:line="240" w:lineRule="auto"/>
        <w:ind w:left="1276"/>
        <w:rPr>
          <w:rFonts w:ascii="Arial" w:eastAsia="Calibri" w:hAnsi="Arial" w:cs="Arial"/>
          <w:sz w:val="24"/>
          <w:szCs w:val="24"/>
        </w:rPr>
      </w:pPr>
      <w:r>
        <w:rPr>
          <w:rFonts w:ascii="Arial" w:eastAsia="Calibri" w:hAnsi="Arial" w:cs="Arial"/>
          <w:sz w:val="24"/>
          <w:szCs w:val="24"/>
        </w:rPr>
        <w:t>Executive</w:t>
      </w:r>
      <w:r w:rsidR="001B53C1">
        <w:rPr>
          <w:rFonts w:ascii="Arial" w:eastAsia="Calibri" w:hAnsi="Arial" w:cs="Arial"/>
          <w:sz w:val="24"/>
          <w:szCs w:val="24"/>
        </w:rPr>
        <w:t xml:space="preserve"> Area</w:t>
      </w:r>
      <w:r>
        <w:rPr>
          <w:rFonts w:ascii="Arial" w:eastAsia="Calibri" w:hAnsi="Arial" w:cs="Arial"/>
          <w:sz w:val="24"/>
          <w:szCs w:val="24"/>
        </w:rPr>
        <w:t xml:space="preserve"> Director (Senior Responsible Officer (SRO)</w:t>
      </w:r>
      <w:r w:rsidR="001B53C1">
        <w:rPr>
          <w:rFonts w:ascii="Arial" w:eastAsia="Calibri" w:hAnsi="Arial" w:cs="Arial"/>
          <w:sz w:val="24"/>
          <w:szCs w:val="24"/>
        </w:rPr>
        <w:t>)</w:t>
      </w:r>
      <w:r w:rsidR="00511D6A" w:rsidRPr="00511D6A">
        <w:rPr>
          <w:rFonts w:ascii="Arial" w:eastAsia="Calibri" w:hAnsi="Arial" w:cs="Arial"/>
          <w:sz w:val="24"/>
          <w:szCs w:val="24"/>
        </w:rPr>
        <w:t xml:space="preserve"> who will chair the meeting in the absence of the Head of Primary Care</w:t>
      </w:r>
      <w:r w:rsidR="0013096A">
        <w:rPr>
          <w:rFonts w:ascii="Arial" w:eastAsia="Calibri" w:hAnsi="Arial" w:cs="Arial"/>
          <w:sz w:val="24"/>
          <w:szCs w:val="24"/>
        </w:rPr>
        <w:t xml:space="preserve"> (Vice-Chair)</w:t>
      </w:r>
    </w:p>
    <w:p w14:paraId="5F6C3D4C" w14:textId="77777777" w:rsidR="00C21EF6" w:rsidRPr="000E6B56" w:rsidRDefault="004169DD" w:rsidP="00895712">
      <w:pPr>
        <w:pStyle w:val="ListParagraph"/>
        <w:numPr>
          <w:ilvl w:val="0"/>
          <w:numId w:val="10"/>
        </w:numPr>
        <w:spacing w:after="0" w:line="240" w:lineRule="auto"/>
        <w:ind w:left="1276"/>
        <w:rPr>
          <w:rFonts w:ascii="Arial" w:eastAsia="Calibri" w:hAnsi="Arial" w:cs="Arial"/>
          <w:sz w:val="24"/>
          <w:szCs w:val="24"/>
        </w:rPr>
      </w:pPr>
      <w:r w:rsidRPr="000E6B56">
        <w:rPr>
          <w:rFonts w:ascii="Arial" w:eastAsia="Calibri" w:hAnsi="Arial" w:cs="Arial"/>
          <w:sz w:val="24"/>
          <w:szCs w:val="24"/>
        </w:rPr>
        <w:t>Up to t</w:t>
      </w:r>
      <w:r w:rsidR="00C21EF6" w:rsidRPr="000E6B56">
        <w:rPr>
          <w:rFonts w:ascii="Arial" w:eastAsia="Calibri" w:hAnsi="Arial" w:cs="Arial"/>
          <w:sz w:val="24"/>
          <w:szCs w:val="24"/>
        </w:rPr>
        <w:t xml:space="preserve">wo </w:t>
      </w:r>
      <w:r w:rsidR="00D86211" w:rsidRPr="000E6B56">
        <w:rPr>
          <w:rFonts w:ascii="Arial" w:eastAsia="Calibri" w:hAnsi="Arial" w:cs="Arial"/>
          <w:sz w:val="24"/>
          <w:szCs w:val="24"/>
        </w:rPr>
        <w:t>PSRC Lay Members 'NHSE Expert volunteers'</w:t>
      </w:r>
    </w:p>
    <w:p w14:paraId="56786F24" w14:textId="77777777" w:rsidR="00AB069D" w:rsidRPr="000E6B56" w:rsidRDefault="00AB069D" w:rsidP="00895712">
      <w:pPr>
        <w:spacing w:after="0" w:line="240" w:lineRule="auto"/>
        <w:contextualSpacing/>
        <w:rPr>
          <w:rFonts w:ascii="Arial" w:eastAsia="Calibri" w:hAnsi="Arial" w:cs="Arial"/>
          <w:sz w:val="24"/>
          <w:szCs w:val="24"/>
        </w:rPr>
      </w:pPr>
    </w:p>
    <w:p w14:paraId="654C8C72" w14:textId="77777777" w:rsidR="004169DD" w:rsidRPr="000E6B56" w:rsidRDefault="00AB069D" w:rsidP="00895712">
      <w:pPr>
        <w:spacing w:after="0" w:line="240" w:lineRule="auto"/>
        <w:ind w:left="567"/>
        <w:contextualSpacing/>
        <w:rPr>
          <w:rFonts w:ascii="Arial" w:eastAsia="Calibri" w:hAnsi="Arial" w:cs="Arial"/>
          <w:sz w:val="24"/>
          <w:szCs w:val="24"/>
        </w:rPr>
      </w:pPr>
      <w:r w:rsidRPr="000E6B56">
        <w:rPr>
          <w:rFonts w:ascii="Arial" w:eastAsia="Calibri" w:hAnsi="Arial" w:cs="Arial"/>
          <w:sz w:val="24"/>
          <w:szCs w:val="24"/>
        </w:rPr>
        <w:t>All members of the PSRC must have a good knowledge and understanding of the Regulations to reduce the likelihood of a successful appeal against decisions made.  It is essential that members build up expertise in the Regulations and therefore consistency of attendance is expected.</w:t>
      </w:r>
      <w:r w:rsidR="004169DD" w:rsidRPr="000E6B56">
        <w:rPr>
          <w:rFonts w:ascii="Arial" w:eastAsia="Calibri" w:hAnsi="Arial" w:cs="Arial"/>
          <w:sz w:val="24"/>
          <w:szCs w:val="24"/>
        </w:rPr>
        <w:t xml:space="preserve"> Subject to the provision of this paragraph deputies may be appointed. </w:t>
      </w:r>
    </w:p>
    <w:p w14:paraId="44B4DF7C" w14:textId="77777777" w:rsidR="00804426" w:rsidRPr="000E6B56" w:rsidRDefault="00804426" w:rsidP="00895712">
      <w:pPr>
        <w:spacing w:after="0" w:line="240" w:lineRule="auto"/>
        <w:contextualSpacing/>
        <w:rPr>
          <w:rFonts w:ascii="Arial" w:eastAsia="Calibri" w:hAnsi="Arial" w:cs="Arial"/>
          <w:sz w:val="24"/>
          <w:szCs w:val="24"/>
        </w:rPr>
      </w:pPr>
    </w:p>
    <w:p w14:paraId="69EE6B5D" w14:textId="001E6588" w:rsidR="00C21EF6" w:rsidRDefault="00B4333D" w:rsidP="00895712">
      <w:pPr>
        <w:spacing w:after="0" w:line="240" w:lineRule="auto"/>
        <w:ind w:left="567"/>
        <w:contextualSpacing/>
        <w:rPr>
          <w:rFonts w:ascii="Arial" w:hAnsi="Arial" w:cs="Arial"/>
          <w:bCs/>
          <w:sz w:val="24"/>
          <w:szCs w:val="24"/>
        </w:rPr>
      </w:pPr>
      <w:bookmarkStart w:id="3" w:name="_Hlk127188370"/>
      <w:r w:rsidRPr="000E6B56">
        <w:rPr>
          <w:rFonts w:ascii="Arial" w:hAnsi="Arial" w:cs="Arial"/>
          <w:bCs/>
          <w:sz w:val="24"/>
          <w:szCs w:val="24"/>
        </w:rPr>
        <w:t>The following persons will be co-opted to each PSRC but will not be voting members:</w:t>
      </w:r>
    </w:p>
    <w:p w14:paraId="7A99CE63" w14:textId="77777777" w:rsidR="0028669E" w:rsidRPr="000E6B56" w:rsidRDefault="0028669E" w:rsidP="00895712">
      <w:pPr>
        <w:spacing w:after="0" w:line="240" w:lineRule="auto"/>
        <w:ind w:left="567"/>
        <w:contextualSpacing/>
        <w:rPr>
          <w:rFonts w:ascii="Arial" w:hAnsi="Arial" w:cs="Arial"/>
          <w:bCs/>
          <w:sz w:val="24"/>
          <w:szCs w:val="24"/>
        </w:rPr>
      </w:pPr>
    </w:p>
    <w:p w14:paraId="798F929D" w14:textId="77777777" w:rsidR="00FE2405" w:rsidRPr="000E6B56" w:rsidRDefault="00511D6A" w:rsidP="00895712">
      <w:pPr>
        <w:pStyle w:val="ListParagraph"/>
        <w:numPr>
          <w:ilvl w:val="0"/>
          <w:numId w:val="11"/>
        </w:numPr>
        <w:spacing w:after="0" w:line="240" w:lineRule="auto"/>
        <w:ind w:left="1276"/>
        <w:rPr>
          <w:rFonts w:ascii="Arial" w:hAnsi="Arial" w:cs="Arial"/>
          <w:bCs/>
          <w:sz w:val="24"/>
          <w:szCs w:val="24"/>
        </w:rPr>
      </w:pPr>
      <w:r>
        <w:rPr>
          <w:rFonts w:ascii="Arial" w:hAnsi="Arial" w:cs="Arial"/>
          <w:bCs/>
          <w:sz w:val="24"/>
          <w:szCs w:val="24"/>
        </w:rPr>
        <w:t>Pharmacy Contract M</w:t>
      </w:r>
      <w:r w:rsidR="00FE2405" w:rsidRPr="000E6B56">
        <w:rPr>
          <w:rFonts w:ascii="Arial" w:hAnsi="Arial" w:cs="Arial"/>
          <w:bCs/>
          <w:sz w:val="24"/>
          <w:szCs w:val="24"/>
        </w:rPr>
        <w:t>anager</w:t>
      </w:r>
      <w:r>
        <w:rPr>
          <w:rFonts w:ascii="Arial" w:hAnsi="Arial" w:cs="Arial"/>
          <w:bCs/>
          <w:sz w:val="24"/>
          <w:szCs w:val="24"/>
        </w:rPr>
        <w:t xml:space="preserve"> (or equivalent post in the ICB)</w:t>
      </w:r>
      <w:r w:rsidR="00FE2405" w:rsidRPr="000E6B56">
        <w:rPr>
          <w:rFonts w:ascii="Arial" w:hAnsi="Arial" w:cs="Arial"/>
          <w:bCs/>
          <w:sz w:val="24"/>
          <w:szCs w:val="24"/>
        </w:rPr>
        <w:t xml:space="preserve"> </w:t>
      </w:r>
    </w:p>
    <w:p w14:paraId="13F88B8C" w14:textId="77777777" w:rsidR="00804426" w:rsidRDefault="00C21EF6" w:rsidP="00895712">
      <w:pPr>
        <w:pStyle w:val="ListParagraph"/>
        <w:numPr>
          <w:ilvl w:val="0"/>
          <w:numId w:val="11"/>
        </w:numPr>
        <w:spacing w:after="0" w:line="240" w:lineRule="auto"/>
        <w:ind w:left="1276"/>
        <w:rPr>
          <w:rFonts w:ascii="Arial" w:hAnsi="Arial" w:cs="Arial"/>
          <w:bCs/>
          <w:sz w:val="24"/>
          <w:szCs w:val="24"/>
        </w:rPr>
      </w:pPr>
      <w:r w:rsidRPr="000E6B56">
        <w:rPr>
          <w:rFonts w:ascii="Arial" w:hAnsi="Arial" w:cs="Arial"/>
          <w:bCs/>
          <w:sz w:val="24"/>
          <w:szCs w:val="24"/>
        </w:rPr>
        <w:t>Pharmacy Professional Advis</w:t>
      </w:r>
      <w:r w:rsidR="007A73AD">
        <w:rPr>
          <w:rFonts w:ascii="Arial" w:hAnsi="Arial" w:cs="Arial"/>
          <w:bCs/>
          <w:sz w:val="24"/>
          <w:szCs w:val="24"/>
        </w:rPr>
        <w:t>o</w:t>
      </w:r>
      <w:r w:rsidRPr="000E6B56">
        <w:rPr>
          <w:rFonts w:ascii="Arial" w:hAnsi="Arial" w:cs="Arial"/>
          <w:bCs/>
          <w:sz w:val="24"/>
          <w:szCs w:val="24"/>
        </w:rPr>
        <w:t>r</w:t>
      </w:r>
      <w:r w:rsidR="00804426" w:rsidRPr="000E6B56">
        <w:rPr>
          <w:rFonts w:ascii="Arial" w:hAnsi="Arial" w:cs="Arial"/>
          <w:bCs/>
          <w:sz w:val="24"/>
          <w:szCs w:val="24"/>
        </w:rPr>
        <w:t xml:space="preserve"> </w:t>
      </w:r>
      <w:r w:rsidR="00511D6A">
        <w:rPr>
          <w:rFonts w:ascii="Arial" w:hAnsi="Arial" w:cs="Arial"/>
          <w:bCs/>
          <w:sz w:val="24"/>
          <w:szCs w:val="24"/>
        </w:rPr>
        <w:t>(or equivalent post in the ICB)</w:t>
      </w:r>
    </w:p>
    <w:p w14:paraId="410E2CBC" w14:textId="77777777" w:rsidR="0028669E" w:rsidRPr="000E6B56" w:rsidRDefault="0028669E" w:rsidP="00895712">
      <w:pPr>
        <w:pStyle w:val="ListParagraph"/>
        <w:spacing w:after="0" w:line="240" w:lineRule="auto"/>
        <w:ind w:left="567"/>
        <w:rPr>
          <w:rFonts w:ascii="Arial" w:hAnsi="Arial" w:cs="Arial"/>
          <w:bCs/>
          <w:sz w:val="24"/>
          <w:szCs w:val="24"/>
        </w:rPr>
      </w:pPr>
    </w:p>
    <w:bookmarkEnd w:id="3"/>
    <w:p w14:paraId="57D70EF3" w14:textId="4AC7872D" w:rsidR="00B4333D" w:rsidRDefault="00895712" w:rsidP="00895712">
      <w:pPr>
        <w:spacing w:after="0" w:line="240" w:lineRule="auto"/>
        <w:ind w:left="567"/>
        <w:contextualSpacing/>
        <w:rPr>
          <w:rFonts w:ascii="Arial" w:eastAsia="Calibri" w:hAnsi="Arial" w:cs="Arial"/>
          <w:sz w:val="24"/>
          <w:szCs w:val="24"/>
        </w:rPr>
      </w:pPr>
      <w:r w:rsidRPr="000E6B56">
        <w:rPr>
          <w:rFonts w:ascii="Arial" w:eastAsia="Calibri" w:hAnsi="Arial" w:cs="Arial"/>
          <w:sz w:val="24"/>
          <w:szCs w:val="24"/>
        </w:rPr>
        <w:t>Persons</w:t>
      </w:r>
      <w:r w:rsidR="00B4333D" w:rsidRPr="000E6B56">
        <w:rPr>
          <w:rFonts w:ascii="Arial" w:eastAsia="Calibri" w:hAnsi="Arial" w:cs="Arial"/>
          <w:sz w:val="24"/>
          <w:szCs w:val="24"/>
        </w:rPr>
        <w:t xml:space="preserve"> ineligible to be voting or co-opted members of a PSRC are listed in Regulation 62 and in paragraph 26(1) of Schedule 2 to the Regulations.  All voting and co-opted members must sign a declaration to confirm that they are not barred by virtue of this regulation or paragraph.  The Chair can </w:t>
      </w:r>
      <w:r w:rsidR="00497C7C" w:rsidRPr="000E6B56">
        <w:rPr>
          <w:rFonts w:ascii="Arial" w:eastAsia="Calibri" w:hAnsi="Arial" w:cs="Arial"/>
          <w:sz w:val="24"/>
          <w:szCs w:val="24"/>
        </w:rPr>
        <w:t>require any co-opted member to leave the meeting before discussion of a matter and not return until the relevant decision has been made.  The minutes will record the absences of the relevant voting or co-opted member or members.</w:t>
      </w:r>
    </w:p>
    <w:p w14:paraId="70655445" w14:textId="77777777" w:rsidR="00C71EB4" w:rsidRDefault="00C71EB4" w:rsidP="00895712">
      <w:pPr>
        <w:spacing w:after="0" w:line="240" w:lineRule="auto"/>
        <w:ind w:left="567"/>
        <w:contextualSpacing/>
        <w:rPr>
          <w:rFonts w:ascii="Arial" w:eastAsia="Calibri" w:hAnsi="Arial" w:cs="Arial"/>
          <w:sz w:val="24"/>
          <w:szCs w:val="24"/>
        </w:rPr>
      </w:pPr>
    </w:p>
    <w:p w14:paraId="7A5ECCA8" w14:textId="77777777" w:rsidR="00C71EB4" w:rsidRDefault="00C71EB4" w:rsidP="00895712">
      <w:pPr>
        <w:spacing w:after="0" w:line="240" w:lineRule="auto"/>
        <w:ind w:left="567"/>
        <w:contextualSpacing/>
        <w:rPr>
          <w:rFonts w:ascii="Arial" w:eastAsia="Calibri" w:hAnsi="Arial" w:cs="Arial"/>
          <w:b/>
          <w:bCs/>
          <w:sz w:val="24"/>
          <w:szCs w:val="24"/>
        </w:rPr>
      </w:pPr>
      <w:r>
        <w:rPr>
          <w:rFonts w:ascii="Arial" w:eastAsia="Calibri" w:hAnsi="Arial" w:cs="Arial"/>
          <w:b/>
          <w:bCs/>
          <w:sz w:val="24"/>
          <w:szCs w:val="24"/>
        </w:rPr>
        <w:t>Persons barred from taking part in decision-making on applications for inclusion in a pharmaceutical list or a dispensing doctor</w:t>
      </w:r>
    </w:p>
    <w:p w14:paraId="21DE30F5" w14:textId="77777777" w:rsidR="00C71EB4" w:rsidRDefault="00C71EB4" w:rsidP="0028669E">
      <w:pPr>
        <w:spacing w:after="0" w:line="240" w:lineRule="auto"/>
        <w:contextualSpacing/>
        <w:jc w:val="both"/>
        <w:rPr>
          <w:rFonts w:ascii="Arial" w:eastAsia="Calibri" w:hAnsi="Arial" w:cs="Arial"/>
          <w:b/>
          <w:bCs/>
          <w:sz w:val="24"/>
          <w:szCs w:val="24"/>
        </w:rPr>
      </w:pPr>
    </w:p>
    <w:p w14:paraId="6408FE71" w14:textId="77777777" w:rsidR="00C71EB4" w:rsidRDefault="00C71EB4" w:rsidP="00895712">
      <w:pPr>
        <w:pStyle w:val="ListParagraph"/>
        <w:numPr>
          <w:ilvl w:val="0"/>
          <w:numId w:val="14"/>
        </w:numPr>
        <w:spacing w:after="0" w:line="240" w:lineRule="auto"/>
        <w:ind w:left="1276"/>
        <w:rPr>
          <w:rFonts w:ascii="Arial" w:eastAsia="Calibri" w:hAnsi="Arial" w:cs="Arial"/>
          <w:sz w:val="24"/>
          <w:szCs w:val="24"/>
        </w:rPr>
      </w:pPr>
      <w:r>
        <w:rPr>
          <w:rFonts w:ascii="Arial" w:eastAsia="Calibri" w:hAnsi="Arial" w:cs="Arial"/>
          <w:sz w:val="24"/>
          <w:szCs w:val="24"/>
        </w:rPr>
        <w:t>A person who is included in a pharmaceutical list or is an employee of such a person</w:t>
      </w:r>
    </w:p>
    <w:p w14:paraId="48163447" w14:textId="77777777" w:rsidR="00C71EB4" w:rsidRDefault="00C71EB4" w:rsidP="00895712">
      <w:pPr>
        <w:pStyle w:val="ListParagraph"/>
        <w:numPr>
          <w:ilvl w:val="0"/>
          <w:numId w:val="14"/>
        </w:numPr>
        <w:spacing w:after="0" w:line="240" w:lineRule="auto"/>
        <w:ind w:left="1276"/>
        <w:rPr>
          <w:rFonts w:ascii="Arial" w:eastAsia="Calibri" w:hAnsi="Arial" w:cs="Arial"/>
          <w:sz w:val="24"/>
          <w:szCs w:val="24"/>
        </w:rPr>
      </w:pPr>
      <w:r>
        <w:rPr>
          <w:rFonts w:ascii="Arial" w:eastAsia="Calibri" w:hAnsi="Arial" w:cs="Arial"/>
          <w:sz w:val="24"/>
          <w:szCs w:val="24"/>
        </w:rPr>
        <w:t>A person who assists in the provision of pharmaceutical services under Chapter 1 or Part 7 of the NHS Act 2006</w:t>
      </w:r>
    </w:p>
    <w:p w14:paraId="16E071F8" w14:textId="77777777" w:rsidR="00C71EB4" w:rsidRDefault="00C71EB4" w:rsidP="00895712">
      <w:pPr>
        <w:pStyle w:val="ListParagraph"/>
        <w:numPr>
          <w:ilvl w:val="0"/>
          <w:numId w:val="14"/>
        </w:numPr>
        <w:spacing w:after="0" w:line="240" w:lineRule="auto"/>
        <w:ind w:left="1276"/>
        <w:rPr>
          <w:rFonts w:ascii="Arial" w:eastAsia="Calibri" w:hAnsi="Arial" w:cs="Arial"/>
          <w:sz w:val="24"/>
          <w:szCs w:val="24"/>
        </w:rPr>
      </w:pPr>
      <w:r>
        <w:rPr>
          <w:rFonts w:ascii="Arial" w:eastAsia="Calibri" w:hAnsi="Arial" w:cs="Arial"/>
          <w:sz w:val="24"/>
          <w:szCs w:val="24"/>
        </w:rPr>
        <w:t>A person who is an LPS chemist, or a person who provides or assists in the provision of LPS</w:t>
      </w:r>
    </w:p>
    <w:p w14:paraId="3B80F955" w14:textId="77777777" w:rsidR="00C71EB4" w:rsidRDefault="00C71EB4" w:rsidP="00895712">
      <w:pPr>
        <w:pStyle w:val="ListParagraph"/>
        <w:numPr>
          <w:ilvl w:val="0"/>
          <w:numId w:val="14"/>
        </w:numPr>
        <w:spacing w:after="0" w:line="240" w:lineRule="auto"/>
        <w:ind w:left="1276"/>
        <w:rPr>
          <w:rFonts w:ascii="Arial" w:eastAsia="Calibri" w:hAnsi="Arial" w:cs="Arial"/>
          <w:sz w:val="24"/>
          <w:szCs w:val="24"/>
        </w:rPr>
      </w:pPr>
      <w:r>
        <w:rPr>
          <w:rFonts w:ascii="Arial" w:eastAsia="Calibri" w:hAnsi="Arial" w:cs="Arial"/>
          <w:sz w:val="24"/>
          <w:szCs w:val="24"/>
        </w:rPr>
        <w:t>A person who is a provider of primary medical services</w:t>
      </w:r>
    </w:p>
    <w:p w14:paraId="5DE9FB3B" w14:textId="77777777" w:rsidR="00C71EB4" w:rsidRDefault="00C71EB4" w:rsidP="00895712">
      <w:pPr>
        <w:pStyle w:val="ListParagraph"/>
        <w:numPr>
          <w:ilvl w:val="0"/>
          <w:numId w:val="14"/>
        </w:numPr>
        <w:spacing w:after="0" w:line="240" w:lineRule="auto"/>
        <w:ind w:left="1276"/>
        <w:rPr>
          <w:rFonts w:ascii="Arial" w:eastAsia="Calibri" w:hAnsi="Arial" w:cs="Arial"/>
          <w:sz w:val="24"/>
          <w:szCs w:val="24"/>
        </w:rPr>
      </w:pPr>
      <w:r>
        <w:rPr>
          <w:rFonts w:ascii="Arial" w:eastAsia="Calibri" w:hAnsi="Arial" w:cs="Arial"/>
          <w:sz w:val="24"/>
          <w:szCs w:val="24"/>
        </w:rPr>
        <w:t>A person who is a member of a provider or primary medical service that is a partnership, or a shareholder in a provider of primary medical services that is a company limited by shares</w:t>
      </w:r>
    </w:p>
    <w:p w14:paraId="7457FFF7" w14:textId="77777777" w:rsidR="00C71EB4" w:rsidRDefault="00C71EB4" w:rsidP="00895712">
      <w:pPr>
        <w:pStyle w:val="ListParagraph"/>
        <w:numPr>
          <w:ilvl w:val="0"/>
          <w:numId w:val="14"/>
        </w:numPr>
        <w:spacing w:after="0" w:line="240" w:lineRule="auto"/>
        <w:ind w:left="1276"/>
        <w:rPr>
          <w:rFonts w:ascii="Arial" w:eastAsia="Calibri" w:hAnsi="Arial" w:cs="Arial"/>
          <w:sz w:val="24"/>
          <w:szCs w:val="24"/>
        </w:rPr>
      </w:pPr>
      <w:r>
        <w:rPr>
          <w:rFonts w:ascii="Arial" w:eastAsia="Calibri" w:hAnsi="Arial" w:cs="Arial"/>
          <w:sz w:val="24"/>
          <w:szCs w:val="24"/>
        </w:rPr>
        <w:t>A person who is employed or engaged by a primary medical services provider</w:t>
      </w:r>
    </w:p>
    <w:p w14:paraId="6F039865" w14:textId="77777777" w:rsidR="00C71EB4" w:rsidRPr="00C71EB4" w:rsidRDefault="00C71EB4" w:rsidP="00895712">
      <w:pPr>
        <w:pStyle w:val="ListParagraph"/>
        <w:numPr>
          <w:ilvl w:val="0"/>
          <w:numId w:val="14"/>
        </w:numPr>
        <w:spacing w:after="0" w:line="240" w:lineRule="auto"/>
        <w:ind w:left="1276"/>
        <w:rPr>
          <w:rFonts w:ascii="Arial" w:eastAsia="Calibri" w:hAnsi="Arial" w:cs="Arial"/>
          <w:sz w:val="24"/>
          <w:szCs w:val="24"/>
        </w:rPr>
      </w:pPr>
      <w:r>
        <w:rPr>
          <w:rFonts w:ascii="Arial" w:eastAsia="Calibri" w:hAnsi="Arial" w:cs="Arial"/>
          <w:sz w:val="24"/>
          <w:szCs w:val="24"/>
        </w:rPr>
        <w:t>A person who is employed or engaged by an alternative provider medical services contractor in any capacity relating to the provision of primary medical services</w:t>
      </w:r>
    </w:p>
    <w:p w14:paraId="77FA49A8" w14:textId="77777777" w:rsidR="003A2AFC" w:rsidRPr="000E6B56" w:rsidRDefault="003A2AFC" w:rsidP="0028669E">
      <w:pPr>
        <w:spacing w:after="0" w:line="240" w:lineRule="auto"/>
        <w:contextualSpacing/>
        <w:jc w:val="both"/>
        <w:rPr>
          <w:rFonts w:ascii="Arial" w:eastAsia="Calibri" w:hAnsi="Arial" w:cs="Arial"/>
          <w:sz w:val="24"/>
          <w:szCs w:val="24"/>
        </w:rPr>
      </w:pPr>
    </w:p>
    <w:p w14:paraId="57E8B2AF" w14:textId="77777777" w:rsidR="003A2AFC" w:rsidRPr="000E6B56" w:rsidRDefault="003A2AFC" w:rsidP="00895712">
      <w:pPr>
        <w:spacing w:after="0" w:line="240" w:lineRule="auto"/>
        <w:ind w:left="567"/>
        <w:contextualSpacing/>
        <w:rPr>
          <w:rFonts w:ascii="Arial" w:eastAsia="Calibri" w:hAnsi="Arial" w:cs="Arial"/>
          <w:sz w:val="24"/>
          <w:szCs w:val="24"/>
        </w:rPr>
      </w:pPr>
      <w:r w:rsidRPr="000E6B56">
        <w:rPr>
          <w:rFonts w:ascii="Arial" w:eastAsia="Calibri" w:hAnsi="Arial" w:cs="Arial"/>
          <w:sz w:val="24"/>
          <w:szCs w:val="24"/>
        </w:rPr>
        <w:t>No Member may take part in a decision if, in the opinion of the remaining voting members, the circumstances set out in paragraph 26(2) of Schedule 2 to the Regulations apply (reasonable suspicion of bias).</w:t>
      </w:r>
    </w:p>
    <w:p w14:paraId="151BB8C5" w14:textId="77777777" w:rsidR="00B4333D" w:rsidRPr="000E6B56" w:rsidRDefault="00B4333D" w:rsidP="00895712">
      <w:pPr>
        <w:spacing w:after="0" w:line="240" w:lineRule="auto"/>
        <w:contextualSpacing/>
        <w:rPr>
          <w:rFonts w:ascii="Arial" w:eastAsia="Calibri" w:hAnsi="Arial" w:cs="Arial"/>
          <w:sz w:val="24"/>
          <w:szCs w:val="24"/>
        </w:rPr>
      </w:pPr>
    </w:p>
    <w:p w14:paraId="638C2532" w14:textId="77777777" w:rsidR="00D00720" w:rsidRDefault="00D00720" w:rsidP="00895712">
      <w:pPr>
        <w:spacing w:after="0" w:line="240" w:lineRule="auto"/>
        <w:ind w:left="567"/>
        <w:contextualSpacing/>
        <w:rPr>
          <w:rFonts w:ascii="Arial" w:hAnsi="Arial" w:cs="Arial"/>
          <w:i/>
          <w:iCs/>
          <w:color w:val="000000"/>
          <w:sz w:val="24"/>
          <w:szCs w:val="24"/>
          <w:u w:val="single"/>
        </w:rPr>
      </w:pPr>
      <w:r w:rsidRPr="000E6B56">
        <w:rPr>
          <w:rFonts w:ascii="Arial" w:hAnsi="Arial" w:cs="Arial"/>
          <w:i/>
          <w:iCs/>
          <w:color w:val="000000"/>
          <w:sz w:val="24"/>
          <w:szCs w:val="24"/>
          <w:u w:val="single"/>
        </w:rPr>
        <w:t xml:space="preserve">Chair and </w:t>
      </w:r>
      <w:r w:rsidR="002234CF">
        <w:rPr>
          <w:rFonts w:ascii="Arial" w:hAnsi="Arial" w:cs="Arial"/>
          <w:i/>
          <w:iCs/>
          <w:color w:val="000000"/>
          <w:sz w:val="24"/>
          <w:szCs w:val="24"/>
          <w:u w:val="single"/>
        </w:rPr>
        <w:t>V</w:t>
      </w:r>
      <w:r w:rsidRPr="000E6B56">
        <w:rPr>
          <w:rFonts w:ascii="Arial" w:hAnsi="Arial" w:cs="Arial"/>
          <w:i/>
          <w:iCs/>
          <w:color w:val="000000"/>
          <w:sz w:val="24"/>
          <w:szCs w:val="24"/>
          <w:u w:val="single"/>
        </w:rPr>
        <w:t>ice</w:t>
      </w:r>
      <w:r w:rsidR="002234CF">
        <w:rPr>
          <w:rFonts w:ascii="Arial" w:hAnsi="Arial" w:cs="Arial"/>
          <w:i/>
          <w:iCs/>
          <w:color w:val="000000"/>
          <w:sz w:val="24"/>
          <w:szCs w:val="24"/>
          <w:u w:val="single"/>
        </w:rPr>
        <w:t>-C</w:t>
      </w:r>
      <w:r w:rsidRPr="000E6B56">
        <w:rPr>
          <w:rFonts w:ascii="Arial" w:hAnsi="Arial" w:cs="Arial"/>
          <w:i/>
          <w:iCs/>
          <w:color w:val="000000"/>
          <w:sz w:val="24"/>
          <w:szCs w:val="24"/>
          <w:u w:val="single"/>
        </w:rPr>
        <w:t>hair</w:t>
      </w:r>
    </w:p>
    <w:p w14:paraId="127BE1E2" w14:textId="77777777" w:rsidR="0028669E" w:rsidRPr="000E6B56" w:rsidRDefault="0028669E" w:rsidP="00895712">
      <w:pPr>
        <w:spacing w:after="0" w:line="240" w:lineRule="auto"/>
        <w:ind w:left="567"/>
        <w:contextualSpacing/>
        <w:rPr>
          <w:rFonts w:ascii="Arial" w:hAnsi="Arial" w:cs="Arial"/>
          <w:i/>
          <w:iCs/>
          <w:color w:val="000000"/>
          <w:sz w:val="24"/>
          <w:szCs w:val="24"/>
          <w:u w:val="single"/>
        </w:rPr>
      </w:pPr>
    </w:p>
    <w:p w14:paraId="3595521A" w14:textId="281480EE" w:rsidR="00AB069D" w:rsidRDefault="00AB069D" w:rsidP="00895712">
      <w:pPr>
        <w:autoSpaceDE w:val="0"/>
        <w:autoSpaceDN w:val="0"/>
        <w:adjustRightInd w:val="0"/>
        <w:spacing w:after="0" w:line="240" w:lineRule="auto"/>
        <w:ind w:left="567"/>
        <w:contextualSpacing/>
        <w:rPr>
          <w:rFonts w:ascii="Arial" w:hAnsi="Arial" w:cs="Arial"/>
          <w:sz w:val="24"/>
          <w:szCs w:val="24"/>
        </w:rPr>
      </w:pPr>
      <w:r w:rsidRPr="000E6B56">
        <w:rPr>
          <w:rFonts w:ascii="Arial" w:hAnsi="Arial" w:cs="Arial"/>
          <w:sz w:val="24"/>
          <w:szCs w:val="24"/>
        </w:rPr>
        <w:t xml:space="preserve">The Chair will be the </w:t>
      </w:r>
      <w:r w:rsidR="00511D6A">
        <w:rPr>
          <w:rFonts w:ascii="Arial" w:hAnsi="Arial" w:cs="Arial"/>
          <w:sz w:val="24"/>
          <w:szCs w:val="24"/>
        </w:rPr>
        <w:t xml:space="preserve">Head of Primary Care (or their suitable, nominated deputy) </w:t>
      </w:r>
      <w:r w:rsidRPr="000E6B56">
        <w:rPr>
          <w:rFonts w:ascii="Arial" w:hAnsi="Arial" w:cs="Arial"/>
          <w:sz w:val="24"/>
          <w:szCs w:val="24"/>
        </w:rPr>
        <w:t xml:space="preserve">and the </w:t>
      </w:r>
      <w:r w:rsidR="001B53C1" w:rsidRPr="001B53C1">
        <w:rPr>
          <w:rFonts w:ascii="Arial" w:hAnsi="Arial" w:cs="Arial"/>
          <w:sz w:val="24"/>
          <w:szCs w:val="24"/>
        </w:rPr>
        <w:t xml:space="preserve">Executive Area Director (Senior Responsible Officer (SRO) </w:t>
      </w:r>
      <w:r w:rsidR="00511D6A">
        <w:rPr>
          <w:rFonts w:ascii="Arial" w:hAnsi="Arial" w:cs="Arial"/>
          <w:sz w:val="24"/>
          <w:szCs w:val="24"/>
        </w:rPr>
        <w:t>or their suitable nominated deputy) will chair the meeting in the absence o</w:t>
      </w:r>
      <w:r w:rsidR="0013096A">
        <w:rPr>
          <w:rFonts w:ascii="Arial" w:hAnsi="Arial" w:cs="Arial"/>
          <w:sz w:val="24"/>
          <w:szCs w:val="24"/>
        </w:rPr>
        <w:t>f</w:t>
      </w:r>
      <w:r w:rsidR="00511D6A">
        <w:rPr>
          <w:rFonts w:ascii="Arial" w:hAnsi="Arial" w:cs="Arial"/>
          <w:sz w:val="24"/>
          <w:szCs w:val="24"/>
        </w:rPr>
        <w:t xml:space="preserve"> the Head of Primary Care.</w:t>
      </w:r>
      <w:r w:rsidR="00434791" w:rsidRPr="000E6B56">
        <w:rPr>
          <w:rFonts w:ascii="Arial" w:hAnsi="Arial" w:cs="Arial"/>
          <w:sz w:val="24"/>
          <w:szCs w:val="24"/>
        </w:rPr>
        <w:t xml:space="preserve">  If the Chair is not </w:t>
      </w:r>
      <w:r w:rsidR="00140628" w:rsidRPr="000E6B56">
        <w:rPr>
          <w:rFonts w:ascii="Arial" w:hAnsi="Arial" w:cs="Arial"/>
          <w:sz w:val="24"/>
          <w:szCs w:val="24"/>
        </w:rPr>
        <w:t>present,</w:t>
      </w:r>
      <w:r w:rsidR="00434791" w:rsidRPr="000E6B56">
        <w:rPr>
          <w:rFonts w:ascii="Arial" w:hAnsi="Arial" w:cs="Arial"/>
          <w:sz w:val="24"/>
          <w:szCs w:val="24"/>
        </w:rPr>
        <w:t xml:space="preserve"> then the Vice Chair will </w:t>
      </w:r>
      <w:r w:rsidR="00140628">
        <w:rPr>
          <w:rFonts w:ascii="Arial" w:hAnsi="Arial" w:cs="Arial"/>
          <w:sz w:val="24"/>
          <w:szCs w:val="24"/>
        </w:rPr>
        <w:t>c</w:t>
      </w:r>
      <w:r w:rsidR="00434791" w:rsidRPr="000E6B56">
        <w:rPr>
          <w:rFonts w:ascii="Arial" w:hAnsi="Arial" w:cs="Arial"/>
          <w:sz w:val="24"/>
          <w:szCs w:val="24"/>
        </w:rPr>
        <w:t xml:space="preserve">hair the meeting. </w:t>
      </w:r>
    </w:p>
    <w:p w14:paraId="3C7B6F5C" w14:textId="77777777" w:rsidR="002234CF" w:rsidRPr="000E6B56" w:rsidRDefault="002234CF" w:rsidP="00895712">
      <w:pPr>
        <w:autoSpaceDE w:val="0"/>
        <w:autoSpaceDN w:val="0"/>
        <w:adjustRightInd w:val="0"/>
        <w:spacing w:after="0" w:line="240" w:lineRule="auto"/>
        <w:ind w:left="567"/>
        <w:contextualSpacing/>
        <w:jc w:val="both"/>
        <w:rPr>
          <w:rFonts w:ascii="Arial" w:hAnsi="Arial" w:cs="Arial"/>
          <w:sz w:val="24"/>
          <w:szCs w:val="24"/>
        </w:rPr>
      </w:pPr>
    </w:p>
    <w:p w14:paraId="666BF3F0" w14:textId="77777777" w:rsidR="00F45034" w:rsidRDefault="00F45034" w:rsidP="00895712">
      <w:pPr>
        <w:autoSpaceDE w:val="0"/>
        <w:autoSpaceDN w:val="0"/>
        <w:adjustRightInd w:val="0"/>
        <w:spacing w:after="0" w:line="240" w:lineRule="auto"/>
        <w:ind w:left="567"/>
        <w:contextualSpacing/>
        <w:rPr>
          <w:rFonts w:ascii="Arial" w:hAnsi="Arial" w:cs="Arial"/>
          <w:sz w:val="24"/>
          <w:szCs w:val="24"/>
        </w:rPr>
      </w:pPr>
      <w:r w:rsidRPr="000E6B56">
        <w:rPr>
          <w:rFonts w:ascii="Arial" w:hAnsi="Arial" w:cs="Arial"/>
          <w:sz w:val="24"/>
          <w:szCs w:val="24"/>
        </w:rPr>
        <w:t xml:space="preserve">The Chair will be responsible for agreeing the agenda and ensuring matters discussed meet the objectives as set out in these </w:t>
      </w:r>
      <w:proofErr w:type="spellStart"/>
      <w:r w:rsidR="0013096A">
        <w:rPr>
          <w:rFonts w:ascii="Arial" w:hAnsi="Arial" w:cs="Arial"/>
          <w:sz w:val="24"/>
          <w:szCs w:val="24"/>
        </w:rPr>
        <w:t>ToRs</w:t>
      </w:r>
      <w:proofErr w:type="spellEnd"/>
      <w:r w:rsidR="00572E2E" w:rsidRPr="000E6B56">
        <w:rPr>
          <w:rFonts w:ascii="Arial" w:hAnsi="Arial" w:cs="Arial"/>
          <w:sz w:val="24"/>
          <w:szCs w:val="24"/>
        </w:rPr>
        <w:t xml:space="preserve"> and in line with the general principles for decision making outlined in the Pharmacy Manual</w:t>
      </w:r>
      <w:r w:rsidR="00511D6A">
        <w:rPr>
          <w:rFonts w:ascii="Arial" w:hAnsi="Arial" w:cs="Arial"/>
          <w:sz w:val="24"/>
          <w:szCs w:val="24"/>
        </w:rPr>
        <w:t xml:space="preserve"> (Version 2, 10 February 2023)</w:t>
      </w:r>
      <w:r w:rsidR="00572E2E" w:rsidRPr="000E6B56">
        <w:rPr>
          <w:rFonts w:ascii="Arial" w:hAnsi="Arial" w:cs="Arial"/>
          <w:sz w:val="24"/>
          <w:szCs w:val="24"/>
        </w:rPr>
        <w:t>.</w:t>
      </w:r>
    </w:p>
    <w:p w14:paraId="567A1E05" w14:textId="77777777" w:rsidR="002234CF" w:rsidRPr="000E6B56" w:rsidRDefault="002234CF" w:rsidP="00895712">
      <w:pPr>
        <w:autoSpaceDE w:val="0"/>
        <w:autoSpaceDN w:val="0"/>
        <w:adjustRightInd w:val="0"/>
        <w:spacing w:after="0" w:line="240" w:lineRule="auto"/>
        <w:ind w:left="567"/>
        <w:contextualSpacing/>
        <w:rPr>
          <w:rFonts w:ascii="Arial" w:hAnsi="Arial" w:cs="Arial"/>
          <w:sz w:val="24"/>
          <w:szCs w:val="24"/>
        </w:rPr>
      </w:pPr>
    </w:p>
    <w:p w14:paraId="25DE8BDF" w14:textId="77777777" w:rsidR="00D00720" w:rsidRPr="000E6B56" w:rsidRDefault="00D00720" w:rsidP="00895712">
      <w:pPr>
        <w:spacing w:after="0" w:line="240" w:lineRule="auto"/>
        <w:ind w:left="567"/>
        <w:contextualSpacing/>
        <w:rPr>
          <w:rFonts w:ascii="Arial" w:eastAsia="Calibri" w:hAnsi="Arial" w:cs="Arial"/>
          <w:sz w:val="24"/>
          <w:szCs w:val="24"/>
        </w:rPr>
      </w:pPr>
      <w:r w:rsidRPr="000E6B56">
        <w:rPr>
          <w:rFonts w:ascii="Arial" w:eastAsia="Calibri" w:hAnsi="Arial" w:cs="Arial"/>
          <w:sz w:val="24"/>
          <w:szCs w:val="24"/>
        </w:rPr>
        <w:t xml:space="preserve">The </w:t>
      </w:r>
      <w:r w:rsidR="00DE6854">
        <w:rPr>
          <w:rFonts w:ascii="Arial" w:eastAsia="Calibri" w:hAnsi="Arial" w:cs="Arial"/>
          <w:sz w:val="24"/>
          <w:szCs w:val="24"/>
        </w:rPr>
        <w:t>PSR</w:t>
      </w:r>
      <w:r w:rsidR="0024113D">
        <w:rPr>
          <w:rFonts w:ascii="Arial" w:eastAsia="Calibri" w:hAnsi="Arial" w:cs="Arial"/>
          <w:sz w:val="24"/>
          <w:szCs w:val="24"/>
        </w:rPr>
        <w:t>C</w:t>
      </w:r>
      <w:r w:rsidRPr="000E6B56">
        <w:rPr>
          <w:rFonts w:ascii="Arial" w:eastAsia="Calibri" w:hAnsi="Arial" w:cs="Arial"/>
          <w:sz w:val="24"/>
          <w:szCs w:val="24"/>
        </w:rPr>
        <w:t xml:space="preserve"> shall satisfy itself that the ICB’s policy, systems and processes for the management of conflicts, (including gifts and hospitality and bribery) are effective including receiving reports relating to non-compliance with the ICB policy and procedures relating to conflicts of interest.</w:t>
      </w:r>
    </w:p>
    <w:p w14:paraId="65A8AC9F" w14:textId="77777777" w:rsidR="00D00720" w:rsidRPr="000E6B56" w:rsidRDefault="00D00720" w:rsidP="00895712">
      <w:pPr>
        <w:spacing w:after="0" w:line="240" w:lineRule="auto"/>
        <w:ind w:left="567"/>
        <w:contextualSpacing/>
        <w:rPr>
          <w:rFonts w:ascii="Arial" w:eastAsia="Calibri" w:hAnsi="Arial" w:cs="Arial"/>
          <w:sz w:val="24"/>
          <w:szCs w:val="24"/>
        </w:rPr>
      </w:pPr>
    </w:p>
    <w:p w14:paraId="12F33BF6" w14:textId="66BD29E0" w:rsidR="00D00720" w:rsidRPr="000E6B56" w:rsidRDefault="00D00720" w:rsidP="00895712">
      <w:pPr>
        <w:spacing w:after="0" w:line="240" w:lineRule="auto"/>
        <w:ind w:left="567"/>
        <w:contextualSpacing/>
        <w:rPr>
          <w:rFonts w:ascii="Arial" w:eastAsia="Calibri" w:hAnsi="Arial" w:cs="Arial"/>
          <w:sz w:val="24"/>
          <w:szCs w:val="24"/>
        </w:rPr>
      </w:pPr>
      <w:r w:rsidRPr="000E6B56">
        <w:rPr>
          <w:rFonts w:ascii="Arial" w:eastAsia="Calibri" w:hAnsi="Arial" w:cs="Arial"/>
          <w:sz w:val="24"/>
          <w:szCs w:val="24"/>
        </w:rPr>
        <w:t>If a Chair has a conflict of interest</w:t>
      </w:r>
      <w:r w:rsidR="003D540D" w:rsidRPr="000E6B56">
        <w:rPr>
          <w:rFonts w:ascii="Arial" w:eastAsia="Calibri" w:hAnsi="Arial" w:cs="Arial"/>
          <w:sz w:val="24"/>
          <w:szCs w:val="24"/>
        </w:rPr>
        <w:t>,</w:t>
      </w:r>
      <w:r w:rsidRPr="000E6B56">
        <w:rPr>
          <w:rFonts w:ascii="Arial" w:eastAsia="Calibri" w:hAnsi="Arial" w:cs="Arial"/>
          <w:sz w:val="24"/>
          <w:szCs w:val="24"/>
        </w:rPr>
        <w:t xml:space="preserve"> then the </w:t>
      </w:r>
      <w:r w:rsidR="002234CF">
        <w:rPr>
          <w:rFonts w:ascii="Arial" w:eastAsia="Calibri" w:hAnsi="Arial" w:cs="Arial"/>
          <w:sz w:val="24"/>
          <w:szCs w:val="24"/>
        </w:rPr>
        <w:t>V</w:t>
      </w:r>
      <w:r w:rsidR="003D540D" w:rsidRPr="000E6B56">
        <w:rPr>
          <w:rFonts w:ascii="Arial" w:eastAsia="Calibri" w:hAnsi="Arial" w:cs="Arial"/>
          <w:sz w:val="24"/>
          <w:szCs w:val="24"/>
        </w:rPr>
        <w:t>ice</w:t>
      </w:r>
      <w:r w:rsidRPr="000E6B56">
        <w:rPr>
          <w:rFonts w:ascii="Arial" w:eastAsia="Calibri" w:hAnsi="Arial" w:cs="Arial"/>
          <w:sz w:val="24"/>
          <w:szCs w:val="24"/>
        </w:rPr>
        <w:t>-</w:t>
      </w:r>
      <w:r w:rsidR="002234CF">
        <w:rPr>
          <w:rFonts w:ascii="Arial" w:eastAsia="Calibri" w:hAnsi="Arial" w:cs="Arial"/>
          <w:sz w:val="24"/>
          <w:szCs w:val="24"/>
        </w:rPr>
        <w:t>C</w:t>
      </w:r>
      <w:r w:rsidRPr="000E6B56">
        <w:rPr>
          <w:rFonts w:ascii="Arial" w:eastAsia="Calibri" w:hAnsi="Arial" w:cs="Arial"/>
          <w:sz w:val="24"/>
          <w:szCs w:val="24"/>
        </w:rPr>
        <w:t xml:space="preserve">hair or, if necessary, another </w:t>
      </w:r>
      <w:r w:rsidR="00DE6854">
        <w:rPr>
          <w:rFonts w:ascii="Arial" w:eastAsia="Calibri" w:hAnsi="Arial" w:cs="Arial"/>
          <w:sz w:val="24"/>
          <w:szCs w:val="24"/>
        </w:rPr>
        <w:t>M</w:t>
      </w:r>
      <w:r w:rsidRPr="000E6B56">
        <w:rPr>
          <w:rFonts w:ascii="Arial" w:eastAsia="Calibri" w:hAnsi="Arial" w:cs="Arial"/>
          <w:sz w:val="24"/>
          <w:szCs w:val="24"/>
        </w:rPr>
        <w:t xml:space="preserve">ember of the </w:t>
      </w:r>
      <w:r w:rsidR="00140628">
        <w:rPr>
          <w:rFonts w:ascii="Arial" w:eastAsia="Calibri" w:hAnsi="Arial" w:cs="Arial"/>
          <w:sz w:val="24"/>
          <w:szCs w:val="24"/>
        </w:rPr>
        <w:t>PSRC</w:t>
      </w:r>
      <w:r w:rsidRPr="000E6B56">
        <w:rPr>
          <w:rFonts w:ascii="Arial" w:eastAsia="Calibri" w:hAnsi="Arial" w:cs="Arial"/>
          <w:sz w:val="24"/>
          <w:szCs w:val="24"/>
        </w:rPr>
        <w:t xml:space="preserve"> will be responsible for deciding the appropriate course of action. </w:t>
      </w:r>
    </w:p>
    <w:p w14:paraId="18500AEF" w14:textId="77777777" w:rsidR="00434791" w:rsidRPr="000E6B56" w:rsidRDefault="00434791" w:rsidP="00895712">
      <w:pPr>
        <w:spacing w:after="0" w:line="240" w:lineRule="auto"/>
        <w:ind w:left="567"/>
        <w:contextualSpacing/>
        <w:rPr>
          <w:rFonts w:ascii="Arial" w:eastAsia="Calibri" w:hAnsi="Arial" w:cs="Arial"/>
          <w:sz w:val="24"/>
          <w:szCs w:val="24"/>
        </w:rPr>
      </w:pPr>
    </w:p>
    <w:p w14:paraId="51C04000" w14:textId="77777777" w:rsidR="00434791" w:rsidRPr="000E6B56" w:rsidRDefault="00434791" w:rsidP="00895712">
      <w:pPr>
        <w:spacing w:after="0" w:line="240" w:lineRule="auto"/>
        <w:ind w:left="567"/>
        <w:contextualSpacing/>
        <w:rPr>
          <w:rFonts w:ascii="Arial" w:eastAsia="Calibri" w:hAnsi="Arial" w:cs="Arial"/>
          <w:sz w:val="24"/>
          <w:szCs w:val="24"/>
        </w:rPr>
      </w:pPr>
      <w:r w:rsidRPr="000E6B56">
        <w:rPr>
          <w:rFonts w:ascii="Arial" w:eastAsia="Calibri" w:hAnsi="Arial" w:cs="Arial"/>
          <w:sz w:val="24"/>
          <w:szCs w:val="24"/>
        </w:rPr>
        <w:t>The Chair may agree other nominated individuals to attend regularly or for specific agenda items but</w:t>
      </w:r>
      <w:r w:rsidR="00497C7C" w:rsidRPr="000E6B56">
        <w:rPr>
          <w:rFonts w:ascii="Arial" w:eastAsia="Calibri" w:hAnsi="Arial" w:cs="Arial"/>
          <w:sz w:val="24"/>
          <w:szCs w:val="24"/>
        </w:rPr>
        <w:t>, at the request of the Chair,</w:t>
      </w:r>
      <w:r w:rsidRPr="000E6B56">
        <w:rPr>
          <w:rFonts w:ascii="Arial" w:eastAsia="Calibri" w:hAnsi="Arial" w:cs="Arial"/>
          <w:sz w:val="24"/>
          <w:szCs w:val="24"/>
        </w:rPr>
        <w:t xml:space="preserve"> will leave the meeting while decision</w:t>
      </w:r>
      <w:r w:rsidR="00B4333D" w:rsidRPr="000E6B56">
        <w:rPr>
          <w:rFonts w:ascii="Arial" w:eastAsia="Calibri" w:hAnsi="Arial" w:cs="Arial"/>
          <w:sz w:val="24"/>
          <w:szCs w:val="24"/>
        </w:rPr>
        <w:t>s</w:t>
      </w:r>
      <w:r w:rsidRPr="000E6B56">
        <w:rPr>
          <w:rFonts w:ascii="Arial" w:eastAsia="Calibri" w:hAnsi="Arial" w:cs="Arial"/>
          <w:sz w:val="24"/>
          <w:szCs w:val="24"/>
        </w:rPr>
        <w:t xml:space="preserve"> are made. </w:t>
      </w:r>
    </w:p>
    <w:p w14:paraId="57641D49" w14:textId="77777777" w:rsidR="00D35A44" w:rsidRPr="000E6B56" w:rsidRDefault="00D35A44" w:rsidP="0028669E">
      <w:pPr>
        <w:spacing w:after="0" w:line="240" w:lineRule="auto"/>
        <w:contextualSpacing/>
        <w:jc w:val="both"/>
        <w:rPr>
          <w:rFonts w:ascii="Arial" w:eastAsia="Calibri" w:hAnsi="Arial" w:cs="Arial"/>
          <w:b/>
          <w:bCs/>
          <w:sz w:val="24"/>
          <w:szCs w:val="24"/>
        </w:rPr>
      </w:pPr>
    </w:p>
    <w:p w14:paraId="36C458D4" w14:textId="6C4D720B" w:rsidR="003D540D" w:rsidRPr="00895712" w:rsidRDefault="003D540D" w:rsidP="00140628">
      <w:pPr>
        <w:numPr>
          <w:ilvl w:val="0"/>
          <w:numId w:val="1"/>
        </w:numPr>
        <w:spacing w:after="0" w:line="240" w:lineRule="auto"/>
        <w:ind w:left="567" w:hanging="567"/>
        <w:contextualSpacing/>
        <w:jc w:val="both"/>
        <w:rPr>
          <w:rFonts w:ascii="Arial" w:eastAsia="SimSun" w:hAnsi="Arial" w:cs="Arial"/>
          <w:b/>
          <w:bCs/>
          <w:color w:val="5B9BD5" w:themeColor="accent5"/>
          <w:sz w:val="24"/>
          <w:szCs w:val="24"/>
        </w:rPr>
      </w:pPr>
      <w:r w:rsidRPr="00895712">
        <w:rPr>
          <w:rFonts w:ascii="Arial" w:eastAsia="SimSun" w:hAnsi="Arial" w:cs="Arial"/>
          <w:b/>
          <w:bCs/>
          <w:color w:val="5B9BD5" w:themeColor="accent5"/>
          <w:sz w:val="24"/>
          <w:szCs w:val="24"/>
        </w:rPr>
        <w:t>Meetings</w:t>
      </w:r>
      <w:r w:rsidR="00895712">
        <w:rPr>
          <w:rFonts w:ascii="Arial" w:eastAsia="SimSun" w:hAnsi="Arial" w:cs="Arial"/>
          <w:b/>
          <w:bCs/>
          <w:color w:val="5B9BD5" w:themeColor="accent5"/>
          <w:sz w:val="24"/>
          <w:szCs w:val="24"/>
        </w:rPr>
        <w:t>,</w:t>
      </w:r>
      <w:r w:rsidRPr="00895712">
        <w:rPr>
          <w:rFonts w:ascii="Arial" w:eastAsia="SimSun" w:hAnsi="Arial" w:cs="Arial"/>
          <w:b/>
          <w:bCs/>
          <w:color w:val="5B9BD5" w:themeColor="accent5"/>
          <w:sz w:val="24"/>
          <w:szCs w:val="24"/>
        </w:rPr>
        <w:t xml:space="preserve"> Quoracy and Decisions</w:t>
      </w:r>
    </w:p>
    <w:p w14:paraId="259098A8" w14:textId="77777777" w:rsidR="00B75468" w:rsidRPr="000E6B56" w:rsidRDefault="00B75468" w:rsidP="0028669E">
      <w:pPr>
        <w:spacing w:after="0" w:line="240" w:lineRule="auto"/>
        <w:contextualSpacing/>
        <w:jc w:val="both"/>
        <w:rPr>
          <w:rFonts w:ascii="Arial" w:eastAsia="Calibri" w:hAnsi="Arial" w:cs="Arial"/>
          <w:b/>
          <w:bCs/>
          <w:caps/>
          <w:sz w:val="24"/>
          <w:szCs w:val="24"/>
        </w:rPr>
      </w:pPr>
    </w:p>
    <w:p w14:paraId="373D1E21" w14:textId="77777777" w:rsidR="003D540D" w:rsidRDefault="003D540D" w:rsidP="00895712">
      <w:pPr>
        <w:autoSpaceDE w:val="0"/>
        <w:autoSpaceDN w:val="0"/>
        <w:adjustRightInd w:val="0"/>
        <w:spacing w:after="0" w:line="240" w:lineRule="auto"/>
        <w:ind w:left="567"/>
        <w:contextualSpacing/>
        <w:rPr>
          <w:rFonts w:ascii="Arial" w:hAnsi="Arial" w:cs="Arial"/>
          <w:bCs/>
          <w:iCs/>
          <w:sz w:val="24"/>
          <w:szCs w:val="24"/>
        </w:rPr>
      </w:pPr>
      <w:r w:rsidRPr="000E6B56">
        <w:rPr>
          <w:rFonts w:ascii="Arial" w:hAnsi="Arial" w:cs="Arial"/>
          <w:bCs/>
          <w:iCs/>
          <w:sz w:val="24"/>
          <w:szCs w:val="24"/>
        </w:rPr>
        <w:t xml:space="preserve">The </w:t>
      </w:r>
      <w:r w:rsidR="00D35A44" w:rsidRPr="000E6B56">
        <w:rPr>
          <w:rFonts w:ascii="Arial" w:hAnsi="Arial" w:cs="Arial"/>
          <w:bCs/>
          <w:iCs/>
          <w:sz w:val="24"/>
          <w:szCs w:val="24"/>
        </w:rPr>
        <w:t xml:space="preserve">PSRC </w:t>
      </w:r>
      <w:r w:rsidRPr="000E6B56">
        <w:rPr>
          <w:rFonts w:ascii="Arial" w:hAnsi="Arial" w:cs="Arial"/>
          <w:bCs/>
          <w:iCs/>
          <w:sz w:val="24"/>
          <w:szCs w:val="24"/>
        </w:rPr>
        <w:t xml:space="preserve">will meet in private.  </w:t>
      </w:r>
    </w:p>
    <w:p w14:paraId="3EB99B33" w14:textId="77777777" w:rsidR="002234CF" w:rsidRPr="000E6B56" w:rsidRDefault="002234CF" w:rsidP="00895712">
      <w:pPr>
        <w:autoSpaceDE w:val="0"/>
        <w:autoSpaceDN w:val="0"/>
        <w:adjustRightInd w:val="0"/>
        <w:spacing w:after="0" w:line="240" w:lineRule="auto"/>
        <w:ind w:left="567"/>
        <w:contextualSpacing/>
        <w:rPr>
          <w:rFonts w:ascii="Arial" w:hAnsi="Arial" w:cs="Arial"/>
          <w:bCs/>
          <w:iCs/>
          <w:sz w:val="24"/>
          <w:szCs w:val="24"/>
        </w:rPr>
      </w:pPr>
    </w:p>
    <w:p w14:paraId="7183CABE" w14:textId="1E50DB6A" w:rsidR="00E826A4" w:rsidRPr="000E6B56" w:rsidRDefault="00E826A4" w:rsidP="00895712">
      <w:pPr>
        <w:spacing w:after="0" w:line="240" w:lineRule="auto"/>
        <w:ind w:left="567"/>
        <w:contextualSpacing/>
        <w:rPr>
          <w:rFonts w:ascii="Arial" w:eastAsia="Calibri" w:hAnsi="Arial" w:cs="Arial"/>
          <w:sz w:val="24"/>
          <w:szCs w:val="24"/>
        </w:rPr>
      </w:pPr>
      <w:r w:rsidRPr="000E6B56">
        <w:rPr>
          <w:rFonts w:ascii="Arial" w:eastAsia="Calibri" w:hAnsi="Arial" w:cs="Arial"/>
          <w:sz w:val="24"/>
          <w:szCs w:val="24"/>
        </w:rPr>
        <w:t xml:space="preserve">The </w:t>
      </w:r>
      <w:bookmarkStart w:id="4" w:name="_Hlk125470590"/>
      <w:r w:rsidR="00D35A44" w:rsidRPr="000E6B56">
        <w:rPr>
          <w:rFonts w:ascii="Arial" w:eastAsia="Calibri" w:hAnsi="Arial" w:cs="Arial"/>
          <w:sz w:val="24"/>
          <w:szCs w:val="24"/>
        </w:rPr>
        <w:t>PSRC</w:t>
      </w:r>
      <w:bookmarkEnd w:id="4"/>
      <w:r w:rsidR="00D35A44" w:rsidRPr="000E6B56">
        <w:rPr>
          <w:rFonts w:ascii="Arial" w:eastAsia="Calibri" w:hAnsi="Arial" w:cs="Arial"/>
          <w:sz w:val="24"/>
          <w:szCs w:val="24"/>
        </w:rPr>
        <w:t xml:space="preserve"> </w:t>
      </w:r>
      <w:r w:rsidRPr="000E6B56">
        <w:rPr>
          <w:rFonts w:ascii="Arial" w:eastAsia="Calibri" w:hAnsi="Arial" w:cs="Arial"/>
          <w:sz w:val="24"/>
          <w:szCs w:val="24"/>
        </w:rPr>
        <w:t>shall meet</w:t>
      </w:r>
      <w:r w:rsidR="003D540D" w:rsidRPr="000E6B56">
        <w:rPr>
          <w:rFonts w:ascii="Arial" w:hAnsi="Arial" w:cs="Arial"/>
          <w:sz w:val="24"/>
          <w:szCs w:val="24"/>
        </w:rPr>
        <w:t xml:space="preserve"> </w:t>
      </w:r>
      <w:r w:rsidR="00D35A44" w:rsidRPr="000E6B56">
        <w:rPr>
          <w:rFonts w:ascii="Arial" w:hAnsi="Arial" w:cs="Arial"/>
          <w:sz w:val="24"/>
          <w:szCs w:val="24"/>
        </w:rPr>
        <w:t xml:space="preserve">monthly </w:t>
      </w:r>
      <w:r w:rsidR="003A2AFC" w:rsidRPr="000E6B56">
        <w:rPr>
          <w:rFonts w:ascii="Arial" w:hAnsi="Arial" w:cs="Arial"/>
          <w:sz w:val="24"/>
          <w:szCs w:val="24"/>
        </w:rPr>
        <w:t xml:space="preserve">(or earlier if needed in order to discuss a case urgently).  The </w:t>
      </w:r>
      <w:r w:rsidR="003D540D" w:rsidRPr="000E6B56">
        <w:rPr>
          <w:rFonts w:ascii="Arial" w:hAnsi="Arial" w:cs="Arial"/>
          <w:sz w:val="24"/>
          <w:szCs w:val="24"/>
        </w:rPr>
        <w:t>arrangements and notice for calling meetings are set out in the</w:t>
      </w:r>
      <w:r w:rsidR="00895712">
        <w:rPr>
          <w:rFonts w:ascii="Arial" w:hAnsi="Arial" w:cs="Arial"/>
          <w:sz w:val="24"/>
          <w:szCs w:val="24"/>
        </w:rPr>
        <w:t xml:space="preserve"> ICB's s</w:t>
      </w:r>
      <w:r w:rsidR="003D540D" w:rsidRPr="000E6B56">
        <w:rPr>
          <w:rFonts w:ascii="Arial" w:hAnsi="Arial" w:cs="Arial"/>
          <w:sz w:val="24"/>
          <w:szCs w:val="24"/>
        </w:rPr>
        <w:t xml:space="preserve">tanding </w:t>
      </w:r>
      <w:r w:rsidR="00895712">
        <w:rPr>
          <w:rFonts w:ascii="Arial" w:hAnsi="Arial" w:cs="Arial"/>
          <w:sz w:val="24"/>
          <w:szCs w:val="24"/>
        </w:rPr>
        <w:t>o</w:t>
      </w:r>
      <w:r w:rsidR="003D540D" w:rsidRPr="000E6B56">
        <w:rPr>
          <w:rFonts w:ascii="Arial" w:hAnsi="Arial" w:cs="Arial"/>
          <w:sz w:val="24"/>
          <w:szCs w:val="24"/>
        </w:rPr>
        <w:t>rders.</w:t>
      </w:r>
      <w:r w:rsidRPr="000E6B56">
        <w:rPr>
          <w:rFonts w:ascii="Arial" w:eastAsia="Calibri" w:hAnsi="Arial" w:cs="Arial"/>
          <w:sz w:val="24"/>
          <w:szCs w:val="24"/>
        </w:rPr>
        <w:t xml:space="preserve"> Additional meetings may be convened</w:t>
      </w:r>
      <w:r w:rsidR="00D35A44" w:rsidRPr="000E6B56">
        <w:rPr>
          <w:rFonts w:ascii="Arial" w:eastAsia="Calibri" w:hAnsi="Arial" w:cs="Arial"/>
          <w:sz w:val="24"/>
          <w:szCs w:val="24"/>
        </w:rPr>
        <w:t xml:space="preserve"> urgently</w:t>
      </w:r>
      <w:r w:rsidR="00B4333D" w:rsidRPr="000E6B56">
        <w:rPr>
          <w:rFonts w:ascii="Arial" w:eastAsia="Calibri" w:hAnsi="Arial" w:cs="Arial"/>
          <w:sz w:val="24"/>
          <w:szCs w:val="24"/>
        </w:rPr>
        <w:t>,</w:t>
      </w:r>
      <w:r w:rsidR="00D35A44" w:rsidRPr="000E6B56">
        <w:rPr>
          <w:rFonts w:ascii="Arial" w:eastAsia="Calibri" w:hAnsi="Arial" w:cs="Arial"/>
          <w:sz w:val="24"/>
          <w:szCs w:val="24"/>
        </w:rPr>
        <w:t xml:space="preserve"> to discuss </w:t>
      </w:r>
      <w:r w:rsidR="00D86211" w:rsidRPr="000E6B56">
        <w:rPr>
          <w:rFonts w:ascii="Arial" w:eastAsia="Calibri" w:hAnsi="Arial" w:cs="Arial"/>
          <w:sz w:val="24"/>
          <w:szCs w:val="24"/>
        </w:rPr>
        <w:t>urgent cases</w:t>
      </w:r>
      <w:r w:rsidR="00B4333D" w:rsidRPr="000E6B56">
        <w:rPr>
          <w:rFonts w:ascii="Arial" w:eastAsia="Calibri" w:hAnsi="Arial" w:cs="Arial"/>
          <w:sz w:val="24"/>
          <w:szCs w:val="24"/>
        </w:rPr>
        <w:t>,</w:t>
      </w:r>
      <w:r w:rsidR="00D86211" w:rsidRPr="000E6B56">
        <w:rPr>
          <w:rFonts w:ascii="Arial" w:eastAsia="Calibri" w:hAnsi="Arial" w:cs="Arial"/>
          <w:sz w:val="24"/>
          <w:szCs w:val="24"/>
        </w:rPr>
        <w:t xml:space="preserve"> </w:t>
      </w:r>
      <w:r w:rsidRPr="000E6B56">
        <w:rPr>
          <w:rFonts w:ascii="Arial" w:eastAsia="Calibri" w:hAnsi="Arial" w:cs="Arial"/>
          <w:sz w:val="24"/>
          <w:szCs w:val="24"/>
        </w:rPr>
        <w:t xml:space="preserve">on an exceptional basis at the discretion of the </w:t>
      </w:r>
      <w:r w:rsidR="002234CF">
        <w:rPr>
          <w:rFonts w:ascii="Arial" w:eastAsia="Calibri" w:hAnsi="Arial" w:cs="Arial"/>
          <w:sz w:val="24"/>
          <w:szCs w:val="24"/>
        </w:rPr>
        <w:t>Subc</w:t>
      </w:r>
      <w:r w:rsidRPr="000E6B56">
        <w:rPr>
          <w:rFonts w:ascii="Arial" w:eastAsia="Calibri" w:hAnsi="Arial" w:cs="Arial"/>
          <w:sz w:val="24"/>
          <w:szCs w:val="24"/>
        </w:rPr>
        <w:t>ommittee Chair.</w:t>
      </w:r>
      <w:r w:rsidR="003A2AFC" w:rsidRPr="000E6B56">
        <w:rPr>
          <w:rFonts w:ascii="Arial" w:eastAsia="Calibri" w:hAnsi="Arial" w:cs="Arial"/>
          <w:sz w:val="24"/>
          <w:szCs w:val="24"/>
        </w:rPr>
        <w:t xml:space="preserve">  Where a meeting is not required it will be documented in line with local procedures.</w:t>
      </w:r>
    </w:p>
    <w:p w14:paraId="6805C558" w14:textId="77777777" w:rsidR="0028669E" w:rsidRDefault="0028669E" w:rsidP="00895712">
      <w:pPr>
        <w:autoSpaceDE w:val="0"/>
        <w:autoSpaceDN w:val="0"/>
        <w:adjustRightInd w:val="0"/>
        <w:spacing w:after="0" w:line="240" w:lineRule="auto"/>
        <w:ind w:left="567"/>
        <w:contextualSpacing/>
        <w:rPr>
          <w:rFonts w:ascii="Arial" w:hAnsi="Arial" w:cs="Arial"/>
          <w:sz w:val="24"/>
          <w:szCs w:val="24"/>
        </w:rPr>
      </w:pPr>
    </w:p>
    <w:p w14:paraId="4070B795" w14:textId="78D59FF6" w:rsidR="003D540D" w:rsidRDefault="003D540D" w:rsidP="00895712">
      <w:pPr>
        <w:autoSpaceDE w:val="0"/>
        <w:autoSpaceDN w:val="0"/>
        <w:adjustRightInd w:val="0"/>
        <w:spacing w:after="0" w:line="240" w:lineRule="auto"/>
        <w:ind w:left="567"/>
        <w:contextualSpacing/>
        <w:rPr>
          <w:rFonts w:ascii="Arial" w:hAnsi="Arial" w:cs="Arial"/>
          <w:sz w:val="24"/>
          <w:szCs w:val="24"/>
        </w:rPr>
      </w:pPr>
      <w:r w:rsidRPr="000E6B56">
        <w:rPr>
          <w:rFonts w:ascii="Arial" w:hAnsi="Arial" w:cs="Arial"/>
          <w:sz w:val="24"/>
          <w:szCs w:val="24"/>
        </w:rPr>
        <w:t xml:space="preserve">In accordance with the </w:t>
      </w:r>
      <w:r w:rsidR="00895712">
        <w:rPr>
          <w:rFonts w:ascii="Arial" w:hAnsi="Arial" w:cs="Arial"/>
          <w:sz w:val="24"/>
          <w:szCs w:val="24"/>
        </w:rPr>
        <w:t xml:space="preserve">ICB's </w:t>
      </w:r>
      <w:r w:rsidRPr="000E6B56">
        <w:rPr>
          <w:rFonts w:ascii="Arial" w:hAnsi="Arial" w:cs="Arial"/>
          <w:sz w:val="24"/>
          <w:szCs w:val="24"/>
        </w:rPr>
        <w:t>Standing Orders, the</w:t>
      </w:r>
      <w:r w:rsidR="00DE6854">
        <w:rPr>
          <w:rFonts w:ascii="Arial" w:hAnsi="Arial" w:cs="Arial"/>
          <w:sz w:val="24"/>
          <w:szCs w:val="24"/>
        </w:rPr>
        <w:t xml:space="preserve"> Sub</w:t>
      </w:r>
      <w:r w:rsidR="00895712">
        <w:rPr>
          <w:rFonts w:ascii="Arial" w:hAnsi="Arial" w:cs="Arial"/>
          <w:sz w:val="24"/>
          <w:szCs w:val="24"/>
        </w:rPr>
        <w:t>c</w:t>
      </w:r>
      <w:r w:rsidRPr="000E6B56">
        <w:rPr>
          <w:rFonts w:ascii="Arial" w:hAnsi="Arial" w:cs="Arial"/>
          <w:sz w:val="24"/>
          <w:szCs w:val="24"/>
        </w:rPr>
        <w:t xml:space="preserve">ommittee may meet virtually when necessary and members attending using electronic means will be counted towards the quorum. </w:t>
      </w:r>
    </w:p>
    <w:p w14:paraId="3F3F9736" w14:textId="77777777" w:rsidR="002234CF" w:rsidRDefault="002234CF" w:rsidP="00895712">
      <w:pPr>
        <w:autoSpaceDE w:val="0"/>
        <w:autoSpaceDN w:val="0"/>
        <w:adjustRightInd w:val="0"/>
        <w:spacing w:after="0" w:line="240" w:lineRule="auto"/>
        <w:ind w:left="567"/>
        <w:contextualSpacing/>
        <w:rPr>
          <w:rFonts w:ascii="Arial" w:hAnsi="Arial" w:cs="Arial"/>
          <w:sz w:val="24"/>
          <w:szCs w:val="24"/>
        </w:rPr>
      </w:pPr>
    </w:p>
    <w:p w14:paraId="0598C26B" w14:textId="064A62C6" w:rsidR="0013096A" w:rsidRDefault="0013096A" w:rsidP="00895712">
      <w:pPr>
        <w:autoSpaceDE w:val="0"/>
        <w:autoSpaceDN w:val="0"/>
        <w:adjustRightInd w:val="0"/>
        <w:spacing w:after="0" w:line="240" w:lineRule="auto"/>
        <w:ind w:left="567"/>
        <w:contextualSpacing/>
        <w:rPr>
          <w:rFonts w:ascii="Arial" w:hAnsi="Arial" w:cs="Arial"/>
          <w:sz w:val="24"/>
          <w:szCs w:val="24"/>
        </w:rPr>
      </w:pPr>
      <w:r w:rsidRPr="0013096A">
        <w:rPr>
          <w:rFonts w:ascii="Arial" w:hAnsi="Arial" w:cs="Arial"/>
          <w:sz w:val="24"/>
          <w:szCs w:val="24"/>
        </w:rPr>
        <w:t xml:space="preserve">The </w:t>
      </w:r>
      <w:r w:rsidR="00895712">
        <w:rPr>
          <w:rFonts w:ascii="Arial" w:hAnsi="Arial" w:cs="Arial"/>
          <w:sz w:val="24"/>
          <w:szCs w:val="24"/>
        </w:rPr>
        <w:t>Subc</w:t>
      </w:r>
      <w:r w:rsidRPr="0013096A">
        <w:rPr>
          <w:rFonts w:ascii="Arial" w:hAnsi="Arial" w:cs="Arial"/>
          <w:sz w:val="24"/>
          <w:szCs w:val="24"/>
        </w:rPr>
        <w:t xml:space="preserve">ommittee will </w:t>
      </w:r>
      <w:r w:rsidR="00490111">
        <w:rPr>
          <w:rFonts w:ascii="Arial" w:hAnsi="Arial" w:cs="Arial"/>
          <w:sz w:val="24"/>
          <w:szCs w:val="24"/>
        </w:rPr>
        <w:t xml:space="preserve">report at least every month to the </w:t>
      </w:r>
      <w:r w:rsidR="002234CF" w:rsidRPr="002234CF">
        <w:rPr>
          <w:rFonts w:ascii="Arial" w:hAnsi="Arial" w:cs="Arial"/>
          <w:sz w:val="24"/>
          <w:szCs w:val="24"/>
        </w:rPr>
        <w:t>Primary Care Strategy and Delivery Sub</w:t>
      </w:r>
      <w:r w:rsidR="00895712">
        <w:rPr>
          <w:rFonts w:ascii="Arial" w:hAnsi="Arial" w:cs="Arial"/>
          <w:sz w:val="24"/>
          <w:szCs w:val="24"/>
        </w:rPr>
        <w:t>c</w:t>
      </w:r>
      <w:r w:rsidR="002234CF" w:rsidRPr="002234CF">
        <w:rPr>
          <w:rFonts w:ascii="Arial" w:hAnsi="Arial" w:cs="Arial"/>
          <w:sz w:val="24"/>
          <w:szCs w:val="24"/>
        </w:rPr>
        <w:t xml:space="preserve">ommittee </w:t>
      </w:r>
      <w:r w:rsidR="00490111">
        <w:rPr>
          <w:rFonts w:ascii="Arial" w:hAnsi="Arial" w:cs="Arial"/>
          <w:sz w:val="24"/>
          <w:szCs w:val="24"/>
        </w:rPr>
        <w:t>on the decisions taken and the outcome of any appeals on those decisions.  ICB committees will also be required to report to NHS England in line with the assurance framework or on request.</w:t>
      </w:r>
    </w:p>
    <w:p w14:paraId="252F0864" w14:textId="77777777" w:rsidR="002234CF" w:rsidRPr="000E6B56" w:rsidRDefault="002234CF" w:rsidP="0028669E">
      <w:pPr>
        <w:autoSpaceDE w:val="0"/>
        <w:autoSpaceDN w:val="0"/>
        <w:adjustRightInd w:val="0"/>
        <w:spacing w:after="0" w:line="240" w:lineRule="auto"/>
        <w:contextualSpacing/>
        <w:jc w:val="both"/>
        <w:rPr>
          <w:rFonts w:ascii="Arial" w:hAnsi="Arial" w:cs="Arial"/>
          <w:sz w:val="24"/>
          <w:szCs w:val="24"/>
        </w:rPr>
      </w:pPr>
    </w:p>
    <w:p w14:paraId="1861A6B8" w14:textId="77777777" w:rsidR="00D00720" w:rsidRPr="000E6B56" w:rsidRDefault="00D00720" w:rsidP="00140628">
      <w:pPr>
        <w:spacing w:after="0" w:line="240" w:lineRule="auto"/>
        <w:ind w:firstLine="567"/>
        <w:contextualSpacing/>
        <w:jc w:val="both"/>
        <w:rPr>
          <w:rFonts w:ascii="Arial" w:hAnsi="Arial" w:cs="Arial"/>
          <w:i/>
          <w:iCs/>
          <w:sz w:val="24"/>
          <w:szCs w:val="24"/>
          <w:u w:val="single"/>
        </w:rPr>
      </w:pPr>
      <w:r w:rsidRPr="000E6B56">
        <w:rPr>
          <w:rFonts w:ascii="Arial" w:hAnsi="Arial" w:cs="Arial"/>
          <w:i/>
          <w:iCs/>
          <w:sz w:val="24"/>
          <w:szCs w:val="24"/>
          <w:u w:val="single"/>
        </w:rPr>
        <w:t>Quoracy</w:t>
      </w:r>
    </w:p>
    <w:p w14:paraId="754591C5" w14:textId="77777777" w:rsidR="00D00720" w:rsidRPr="000E6B56" w:rsidRDefault="00D00720" w:rsidP="00140628">
      <w:pPr>
        <w:spacing w:after="0" w:line="240" w:lineRule="auto"/>
        <w:ind w:left="567"/>
        <w:contextualSpacing/>
        <w:rPr>
          <w:rFonts w:ascii="Arial" w:eastAsia="Calibri" w:hAnsi="Arial" w:cs="Arial"/>
          <w:b/>
          <w:bCs/>
          <w:sz w:val="24"/>
          <w:szCs w:val="24"/>
        </w:rPr>
      </w:pPr>
    </w:p>
    <w:p w14:paraId="08F623DD" w14:textId="77777777" w:rsidR="00CD2F81" w:rsidRDefault="00CD2F81" w:rsidP="00140628">
      <w:pPr>
        <w:spacing w:after="0" w:line="240" w:lineRule="auto"/>
        <w:ind w:left="567"/>
        <w:contextualSpacing/>
        <w:rPr>
          <w:rFonts w:ascii="Arial" w:hAnsi="Arial" w:cs="Arial"/>
          <w:sz w:val="24"/>
          <w:szCs w:val="24"/>
        </w:rPr>
      </w:pPr>
      <w:r w:rsidRPr="000E6B56">
        <w:rPr>
          <w:rFonts w:ascii="Arial" w:hAnsi="Arial" w:cs="Arial"/>
          <w:sz w:val="24"/>
          <w:szCs w:val="24"/>
        </w:rPr>
        <w:t xml:space="preserve">No business shall be transacted at a meeting unless at least </w:t>
      </w:r>
      <w:r w:rsidR="00572E2E" w:rsidRPr="000E6B56">
        <w:rPr>
          <w:rFonts w:ascii="Arial" w:hAnsi="Arial" w:cs="Arial"/>
          <w:sz w:val="24"/>
          <w:szCs w:val="24"/>
        </w:rPr>
        <w:t xml:space="preserve">two of the voting members are present one of which must be an </w:t>
      </w:r>
      <w:r w:rsidR="0013096A">
        <w:rPr>
          <w:rFonts w:ascii="Arial" w:hAnsi="Arial" w:cs="Arial"/>
          <w:sz w:val="24"/>
          <w:szCs w:val="24"/>
        </w:rPr>
        <w:t xml:space="preserve">officer from the </w:t>
      </w:r>
      <w:r w:rsidR="00DE6854">
        <w:rPr>
          <w:rFonts w:ascii="Arial" w:hAnsi="Arial" w:cs="Arial"/>
          <w:sz w:val="24"/>
          <w:szCs w:val="24"/>
        </w:rPr>
        <w:t>ICB</w:t>
      </w:r>
      <w:r w:rsidR="00572E2E" w:rsidRPr="000E6B56">
        <w:rPr>
          <w:rFonts w:ascii="Arial" w:hAnsi="Arial" w:cs="Arial"/>
          <w:sz w:val="24"/>
          <w:szCs w:val="24"/>
        </w:rPr>
        <w:t>.</w:t>
      </w:r>
    </w:p>
    <w:p w14:paraId="65CA7AF9" w14:textId="77777777" w:rsidR="002234CF" w:rsidRPr="00760FDE" w:rsidRDefault="002234CF" w:rsidP="00140628">
      <w:pPr>
        <w:spacing w:after="0" w:line="240" w:lineRule="auto"/>
        <w:ind w:left="567"/>
        <w:contextualSpacing/>
        <w:rPr>
          <w:rFonts w:ascii="Arial" w:hAnsi="Arial" w:cs="Arial"/>
          <w:sz w:val="24"/>
          <w:szCs w:val="24"/>
        </w:rPr>
      </w:pPr>
    </w:p>
    <w:p w14:paraId="23DC8A4F" w14:textId="042B5173" w:rsidR="00CD2F81" w:rsidRDefault="00CD2F81" w:rsidP="00140628">
      <w:pPr>
        <w:spacing w:after="0" w:line="240" w:lineRule="auto"/>
        <w:ind w:left="567"/>
        <w:contextualSpacing/>
        <w:rPr>
          <w:rFonts w:ascii="Arial" w:hAnsi="Arial" w:cs="Arial"/>
          <w:sz w:val="24"/>
          <w:szCs w:val="24"/>
        </w:rPr>
      </w:pPr>
      <w:r w:rsidRPr="00760FDE">
        <w:rPr>
          <w:rFonts w:ascii="Arial" w:hAnsi="Arial" w:cs="Arial"/>
          <w:sz w:val="24"/>
          <w:szCs w:val="24"/>
        </w:rPr>
        <w:t xml:space="preserve">In the event that a meeting of the </w:t>
      </w:r>
      <w:r w:rsidR="00140628">
        <w:rPr>
          <w:rFonts w:ascii="Arial" w:hAnsi="Arial" w:cs="Arial"/>
          <w:sz w:val="24"/>
          <w:szCs w:val="24"/>
        </w:rPr>
        <w:t>PSRC</w:t>
      </w:r>
      <w:r w:rsidRPr="00760FDE">
        <w:rPr>
          <w:rFonts w:ascii="Arial" w:hAnsi="Arial" w:cs="Arial"/>
          <w:sz w:val="24"/>
          <w:szCs w:val="24"/>
        </w:rPr>
        <w:t xml:space="preserve"> is not quorate, the Chair can decide that the meeting will progress, but where decisions are required, they will be deferred to the next meeting when the </w:t>
      </w:r>
      <w:r w:rsidR="00140628">
        <w:rPr>
          <w:rFonts w:ascii="Arial" w:hAnsi="Arial" w:cs="Arial"/>
          <w:sz w:val="24"/>
          <w:szCs w:val="24"/>
        </w:rPr>
        <w:t>PSRC</w:t>
      </w:r>
      <w:r w:rsidRPr="00760FDE">
        <w:rPr>
          <w:rFonts w:ascii="Arial" w:hAnsi="Arial" w:cs="Arial"/>
          <w:sz w:val="24"/>
          <w:szCs w:val="24"/>
        </w:rPr>
        <w:t xml:space="preserve"> is quorate.</w:t>
      </w:r>
    </w:p>
    <w:p w14:paraId="5EB2C919" w14:textId="77777777" w:rsidR="002234CF" w:rsidRPr="00F540C8" w:rsidRDefault="002234CF" w:rsidP="00140628">
      <w:pPr>
        <w:spacing w:after="0" w:line="240" w:lineRule="auto"/>
        <w:ind w:left="567"/>
        <w:contextualSpacing/>
        <w:rPr>
          <w:rFonts w:ascii="Arial" w:hAnsi="Arial" w:cs="Arial"/>
          <w:sz w:val="24"/>
          <w:szCs w:val="24"/>
        </w:rPr>
      </w:pPr>
    </w:p>
    <w:p w14:paraId="0BD99A1A" w14:textId="77777777" w:rsidR="00B75468" w:rsidRPr="00CD2F81" w:rsidRDefault="00D00720" w:rsidP="00140628">
      <w:pPr>
        <w:spacing w:after="0" w:line="240" w:lineRule="auto"/>
        <w:ind w:left="567"/>
        <w:contextualSpacing/>
        <w:rPr>
          <w:rFonts w:ascii="Arial" w:hAnsi="Arial" w:cs="Arial"/>
          <w:i/>
          <w:iCs/>
          <w:sz w:val="24"/>
          <w:szCs w:val="24"/>
          <w:u w:val="single"/>
        </w:rPr>
      </w:pPr>
      <w:r w:rsidRPr="00CD2F81">
        <w:rPr>
          <w:rFonts w:ascii="Arial" w:hAnsi="Arial" w:cs="Arial"/>
          <w:i/>
          <w:iCs/>
          <w:sz w:val="24"/>
          <w:szCs w:val="24"/>
          <w:u w:val="single"/>
        </w:rPr>
        <w:t>Decision making and voting</w:t>
      </w:r>
    </w:p>
    <w:p w14:paraId="35F99F01" w14:textId="77777777" w:rsidR="00D00720" w:rsidRPr="00D00720" w:rsidRDefault="00D00720" w:rsidP="00140628">
      <w:pPr>
        <w:spacing w:after="0" w:line="240" w:lineRule="auto"/>
        <w:ind w:left="567"/>
        <w:contextualSpacing/>
        <w:rPr>
          <w:rFonts w:ascii="Arial" w:eastAsia="Calibri" w:hAnsi="Arial" w:cs="Arial"/>
          <w:b/>
          <w:bCs/>
          <w:sz w:val="24"/>
          <w:szCs w:val="24"/>
        </w:rPr>
      </w:pPr>
    </w:p>
    <w:p w14:paraId="4455AEBF" w14:textId="558C3627" w:rsidR="00D00720" w:rsidRPr="00D00720" w:rsidRDefault="00D00720" w:rsidP="00140628">
      <w:pPr>
        <w:spacing w:after="0" w:line="240" w:lineRule="auto"/>
        <w:ind w:left="567"/>
        <w:contextualSpacing/>
        <w:rPr>
          <w:rFonts w:ascii="Arial" w:eastAsia="Calibri" w:hAnsi="Arial" w:cs="Arial"/>
          <w:sz w:val="24"/>
          <w:szCs w:val="24"/>
        </w:rPr>
      </w:pPr>
      <w:r w:rsidRPr="00D00720">
        <w:rPr>
          <w:rFonts w:ascii="Arial" w:eastAsia="Calibri" w:hAnsi="Arial" w:cs="Arial"/>
          <w:sz w:val="24"/>
          <w:szCs w:val="24"/>
        </w:rPr>
        <w:t xml:space="preserve">Decisions will be taken in according with the </w:t>
      </w:r>
      <w:r w:rsidR="00140628">
        <w:rPr>
          <w:rFonts w:ascii="Arial" w:eastAsia="Calibri" w:hAnsi="Arial" w:cs="Arial"/>
          <w:sz w:val="24"/>
          <w:szCs w:val="24"/>
        </w:rPr>
        <w:t xml:space="preserve">ICB's </w:t>
      </w:r>
      <w:r w:rsidRPr="00D00720">
        <w:rPr>
          <w:rFonts w:ascii="Arial" w:eastAsia="Calibri" w:hAnsi="Arial" w:cs="Arial"/>
          <w:sz w:val="24"/>
          <w:szCs w:val="24"/>
        </w:rPr>
        <w:t xml:space="preserve">Standing Orders. The </w:t>
      </w:r>
      <w:r w:rsidR="00140628">
        <w:rPr>
          <w:rFonts w:ascii="Arial" w:eastAsia="Calibri" w:hAnsi="Arial" w:cs="Arial"/>
          <w:sz w:val="24"/>
          <w:szCs w:val="24"/>
        </w:rPr>
        <w:t>PSRC</w:t>
      </w:r>
      <w:r w:rsidRPr="00D00720">
        <w:rPr>
          <w:rFonts w:ascii="Arial" w:eastAsia="Calibri" w:hAnsi="Arial" w:cs="Arial"/>
          <w:sz w:val="24"/>
          <w:szCs w:val="24"/>
        </w:rPr>
        <w:t xml:space="preserve"> will ordinarily reach conclusions by consensus</w:t>
      </w:r>
      <w:r w:rsidR="00572E2E">
        <w:rPr>
          <w:rFonts w:ascii="Arial" w:eastAsia="Calibri" w:hAnsi="Arial" w:cs="Arial"/>
          <w:sz w:val="24"/>
          <w:szCs w:val="24"/>
        </w:rPr>
        <w:t xml:space="preserve"> of voting Members</w:t>
      </w:r>
      <w:r w:rsidRPr="00D00720">
        <w:rPr>
          <w:rFonts w:ascii="Arial" w:eastAsia="Calibri" w:hAnsi="Arial" w:cs="Arial"/>
          <w:sz w:val="24"/>
          <w:szCs w:val="24"/>
        </w:rPr>
        <w:t>. When this is not possible</w:t>
      </w:r>
      <w:r w:rsidR="00DE6854">
        <w:rPr>
          <w:rFonts w:ascii="Arial" w:eastAsia="Calibri" w:hAnsi="Arial" w:cs="Arial"/>
          <w:sz w:val="24"/>
          <w:szCs w:val="24"/>
        </w:rPr>
        <w:t xml:space="preserve"> each voting Member will have one vote and in the event of a tied vote</w:t>
      </w:r>
      <w:r w:rsidRPr="00D00720">
        <w:rPr>
          <w:rFonts w:ascii="Arial" w:eastAsia="Calibri" w:hAnsi="Arial" w:cs="Arial"/>
          <w:sz w:val="24"/>
          <w:szCs w:val="24"/>
        </w:rPr>
        <w:t xml:space="preserve"> the Chair </w:t>
      </w:r>
      <w:r w:rsidR="00DE6854">
        <w:rPr>
          <w:rFonts w:ascii="Arial" w:eastAsia="Calibri" w:hAnsi="Arial" w:cs="Arial"/>
          <w:sz w:val="24"/>
          <w:szCs w:val="24"/>
        </w:rPr>
        <w:t>will have</w:t>
      </w:r>
      <w:r w:rsidR="00572E2E">
        <w:rPr>
          <w:rFonts w:ascii="Arial" w:eastAsia="Calibri" w:hAnsi="Arial" w:cs="Arial"/>
          <w:sz w:val="24"/>
          <w:szCs w:val="24"/>
        </w:rPr>
        <w:t xml:space="preserve"> the casting </w:t>
      </w:r>
      <w:r w:rsidRPr="00D00720">
        <w:rPr>
          <w:rFonts w:ascii="Arial" w:eastAsia="Calibri" w:hAnsi="Arial" w:cs="Arial"/>
          <w:sz w:val="24"/>
          <w:szCs w:val="24"/>
        </w:rPr>
        <w:t>vote</w:t>
      </w:r>
      <w:r w:rsidR="00572E2E">
        <w:rPr>
          <w:rFonts w:ascii="Arial" w:eastAsia="Calibri" w:hAnsi="Arial" w:cs="Arial"/>
          <w:sz w:val="24"/>
          <w:szCs w:val="24"/>
        </w:rPr>
        <w:t>.  The result of the vote will be recorded in the minutes.</w:t>
      </w:r>
    </w:p>
    <w:p w14:paraId="261DB6DF" w14:textId="77777777" w:rsidR="00D00720" w:rsidRDefault="00D00720" w:rsidP="0028669E">
      <w:pPr>
        <w:spacing w:after="0" w:line="240" w:lineRule="auto"/>
        <w:contextualSpacing/>
        <w:jc w:val="both"/>
        <w:rPr>
          <w:rFonts w:ascii="Arial" w:eastAsia="Calibri" w:hAnsi="Arial" w:cs="Arial"/>
          <w:sz w:val="24"/>
          <w:szCs w:val="24"/>
        </w:rPr>
      </w:pPr>
    </w:p>
    <w:p w14:paraId="5CFD488D" w14:textId="77777777" w:rsidR="00D00720" w:rsidRDefault="00D00720" w:rsidP="00140628">
      <w:pPr>
        <w:spacing w:after="0" w:line="240" w:lineRule="auto"/>
        <w:ind w:left="567"/>
        <w:contextualSpacing/>
        <w:rPr>
          <w:rFonts w:ascii="Arial" w:eastAsia="Calibri" w:hAnsi="Arial" w:cs="Arial"/>
          <w:sz w:val="24"/>
          <w:szCs w:val="24"/>
        </w:rPr>
      </w:pPr>
      <w:r w:rsidRPr="00D00720">
        <w:rPr>
          <w:rFonts w:ascii="Arial" w:eastAsia="Calibri" w:hAnsi="Arial" w:cs="Arial"/>
          <w:sz w:val="24"/>
          <w:szCs w:val="24"/>
        </w:rPr>
        <w:t xml:space="preserve">If a decision is needed which cannot wait for the next scheduled meeting, the Chair may conduct business on a ‘virtual’ basis through the use of telephone, email or other electronic communication. </w:t>
      </w:r>
    </w:p>
    <w:p w14:paraId="1A3CF64B" w14:textId="77777777" w:rsidR="00572E2E" w:rsidRDefault="00572E2E" w:rsidP="0028669E">
      <w:pPr>
        <w:spacing w:after="0" w:line="240" w:lineRule="auto"/>
        <w:contextualSpacing/>
        <w:jc w:val="both"/>
        <w:rPr>
          <w:rFonts w:ascii="Arial" w:eastAsia="Calibri" w:hAnsi="Arial" w:cs="Arial"/>
          <w:sz w:val="24"/>
          <w:szCs w:val="24"/>
        </w:rPr>
      </w:pPr>
    </w:p>
    <w:p w14:paraId="3ADCEC6A" w14:textId="77777777" w:rsidR="008421A6" w:rsidRPr="00140628" w:rsidRDefault="008421A6" w:rsidP="00140628">
      <w:pPr>
        <w:numPr>
          <w:ilvl w:val="0"/>
          <w:numId w:val="1"/>
        </w:numPr>
        <w:spacing w:after="0" w:line="240" w:lineRule="auto"/>
        <w:ind w:left="567" w:hanging="567"/>
        <w:contextualSpacing/>
        <w:jc w:val="both"/>
        <w:rPr>
          <w:rFonts w:ascii="Arial" w:eastAsia="SimSun" w:hAnsi="Arial" w:cs="Arial"/>
          <w:b/>
          <w:bCs/>
          <w:color w:val="5B9BD5" w:themeColor="accent5"/>
          <w:sz w:val="24"/>
          <w:szCs w:val="24"/>
        </w:rPr>
      </w:pPr>
      <w:r w:rsidRPr="00140628">
        <w:rPr>
          <w:rFonts w:ascii="Arial" w:eastAsia="SimSun" w:hAnsi="Arial" w:cs="Arial"/>
          <w:b/>
          <w:bCs/>
          <w:color w:val="5B9BD5" w:themeColor="accent5"/>
          <w:sz w:val="24"/>
          <w:szCs w:val="24"/>
        </w:rPr>
        <w:t>R</w:t>
      </w:r>
      <w:r w:rsidR="00BE33E4" w:rsidRPr="00140628">
        <w:rPr>
          <w:rFonts w:ascii="Arial" w:eastAsia="SimSun" w:hAnsi="Arial" w:cs="Arial"/>
          <w:b/>
          <w:bCs/>
          <w:color w:val="5B9BD5" w:themeColor="accent5"/>
          <w:sz w:val="24"/>
          <w:szCs w:val="24"/>
        </w:rPr>
        <w:t>esponsibilities of the Committee</w:t>
      </w:r>
      <w:r w:rsidR="00022312" w:rsidRPr="00140628">
        <w:rPr>
          <w:rFonts w:ascii="Arial" w:eastAsia="SimSun" w:hAnsi="Arial" w:cs="Arial"/>
          <w:b/>
          <w:bCs/>
          <w:color w:val="5B9BD5" w:themeColor="accent5"/>
          <w:sz w:val="24"/>
          <w:szCs w:val="24"/>
        </w:rPr>
        <w:t xml:space="preserve"> </w:t>
      </w:r>
    </w:p>
    <w:p w14:paraId="486682D6" w14:textId="77777777" w:rsidR="008421A6" w:rsidRPr="000E6B56" w:rsidRDefault="008421A6" w:rsidP="0028669E">
      <w:pPr>
        <w:spacing w:after="0" w:line="240" w:lineRule="auto"/>
        <w:contextualSpacing/>
        <w:jc w:val="both"/>
        <w:rPr>
          <w:rFonts w:ascii="Arial" w:eastAsia="Calibri" w:hAnsi="Arial" w:cs="Arial"/>
          <w:b/>
          <w:bCs/>
          <w:caps/>
          <w:sz w:val="24"/>
          <w:szCs w:val="24"/>
        </w:rPr>
      </w:pPr>
    </w:p>
    <w:p w14:paraId="1FB62DE7" w14:textId="77777777" w:rsidR="008421A6" w:rsidRPr="000E6B56" w:rsidRDefault="008421A6" w:rsidP="00140628">
      <w:pPr>
        <w:spacing w:after="0" w:line="240" w:lineRule="auto"/>
        <w:ind w:left="567"/>
        <w:contextualSpacing/>
        <w:rPr>
          <w:rFonts w:ascii="Arial" w:eastAsia="Calibri" w:hAnsi="Arial" w:cs="Arial"/>
          <w:sz w:val="24"/>
          <w:szCs w:val="24"/>
        </w:rPr>
      </w:pPr>
      <w:bookmarkStart w:id="5" w:name="_Hlk127182251"/>
      <w:r w:rsidRPr="000E6B56">
        <w:rPr>
          <w:rFonts w:ascii="Arial" w:eastAsia="Calibri" w:hAnsi="Arial" w:cs="Arial"/>
          <w:sz w:val="24"/>
          <w:szCs w:val="24"/>
        </w:rPr>
        <w:t xml:space="preserve">The </w:t>
      </w:r>
      <w:r w:rsidR="00F55E31" w:rsidRPr="000E6B56">
        <w:rPr>
          <w:rFonts w:ascii="Arial" w:eastAsia="Calibri" w:hAnsi="Arial" w:cs="Arial"/>
          <w:sz w:val="24"/>
          <w:szCs w:val="24"/>
        </w:rPr>
        <w:t xml:space="preserve">responsibilities </w:t>
      </w:r>
      <w:r w:rsidRPr="000E6B56">
        <w:rPr>
          <w:rFonts w:ascii="Arial" w:eastAsia="Calibri" w:hAnsi="Arial" w:cs="Arial"/>
          <w:sz w:val="24"/>
          <w:szCs w:val="24"/>
        </w:rPr>
        <w:t xml:space="preserve">of the </w:t>
      </w:r>
      <w:r w:rsidR="00167DDA" w:rsidRPr="000E6B56">
        <w:rPr>
          <w:rFonts w:ascii="Arial" w:eastAsia="Calibri" w:hAnsi="Arial" w:cs="Arial"/>
          <w:sz w:val="24"/>
          <w:szCs w:val="24"/>
        </w:rPr>
        <w:t xml:space="preserve">PSRC are defined Under the NHS (Pharmaceutical and Local Pharmaceutical Services) Regulations 2013 and </w:t>
      </w:r>
      <w:r w:rsidRPr="000E6B56">
        <w:rPr>
          <w:rFonts w:ascii="Arial" w:eastAsia="Calibri" w:hAnsi="Arial" w:cs="Arial"/>
          <w:sz w:val="24"/>
          <w:szCs w:val="24"/>
        </w:rPr>
        <w:t xml:space="preserve">will be authorised by the ICB Board.  It is expected that </w:t>
      </w:r>
      <w:r w:rsidR="00167DDA" w:rsidRPr="000E6B56">
        <w:rPr>
          <w:rFonts w:ascii="Arial" w:eastAsia="Calibri" w:hAnsi="Arial" w:cs="Arial"/>
          <w:sz w:val="24"/>
          <w:szCs w:val="24"/>
        </w:rPr>
        <w:t xml:space="preserve">PSRC </w:t>
      </w:r>
      <w:r w:rsidRPr="000E6B56">
        <w:rPr>
          <w:rFonts w:ascii="Arial" w:eastAsia="Calibri" w:hAnsi="Arial" w:cs="Arial"/>
          <w:sz w:val="24"/>
          <w:szCs w:val="24"/>
        </w:rPr>
        <w:t>will:</w:t>
      </w:r>
    </w:p>
    <w:p w14:paraId="2B0BA872" w14:textId="77777777" w:rsidR="008421A6" w:rsidRPr="002234CF" w:rsidRDefault="008421A6" w:rsidP="0028669E">
      <w:pPr>
        <w:spacing w:after="0" w:line="240" w:lineRule="auto"/>
        <w:contextualSpacing/>
        <w:jc w:val="both"/>
        <w:rPr>
          <w:rFonts w:ascii="Arial" w:eastAsia="Calibri" w:hAnsi="Arial" w:cs="Arial"/>
          <w:sz w:val="20"/>
          <w:szCs w:val="20"/>
        </w:rPr>
      </w:pPr>
    </w:p>
    <w:p w14:paraId="7949F9B9" w14:textId="77777777" w:rsidR="008421A6" w:rsidRPr="000E6B56" w:rsidRDefault="006069DD" w:rsidP="00140628">
      <w:pPr>
        <w:numPr>
          <w:ilvl w:val="0"/>
          <w:numId w:val="8"/>
        </w:numPr>
        <w:spacing w:after="0" w:line="240" w:lineRule="auto"/>
        <w:ind w:left="1134"/>
        <w:contextualSpacing/>
        <w:rPr>
          <w:rFonts w:ascii="Arial" w:eastAsia="Calibri" w:hAnsi="Arial" w:cs="Arial"/>
          <w:sz w:val="24"/>
          <w:szCs w:val="24"/>
        </w:rPr>
      </w:pPr>
      <w:r w:rsidRPr="000E6B56">
        <w:rPr>
          <w:rFonts w:ascii="Arial" w:eastAsia="Calibri" w:hAnsi="Arial" w:cs="Arial"/>
          <w:sz w:val="24"/>
          <w:szCs w:val="24"/>
        </w:rPr>
        <w:t>Determine those application and notifications received under the NHS (Pharmaceutical and Local Pharmaceutical Services) Regulations 2013 (the 2013 Regulations)</w:t>
      </w:r>
    </w:p>
    <w:p w14:paraId="25FE2605" w14:textId="77777777" w:rsidR="00F540C8" w:rsidRPr="002234CF" w:rsidRDefault="00F540C8" w:rsidP="00140628">
      <w:pPr>
        <w:spacing w:after="0" w:line="240" w:lineRule="auto"/>
        <w:ind w:left="1134"/>
        <w:contextualSpacing/>
        <w:rPr>
          <w:rFonts w:ascii="Arial" w:eastAsia="Calibri" w:hAnsi="Arial" w:cs="Arial"/>
          <w:sz w:val="16"/>
          <w:szCs w:val="16"/>
        </w:rPr>
      </w:pPr>
    </w:p>
    <w:p w14:paraId="22055261" w14:textId="77777777" w:rsidR="008421A6" w:rsidRPr="000E6B56" w:rsidRDefault="006069DD" w:rsidP="00140628">
      <w:pPr>
        <w:numPr>
          <w:ilvl w:val="0"/>
          <w:numId w:val="8"/>
        </w:numPr>
        <w:spacing w:after="0" w:line="240" w:lineRule="auto"/>
        <w:ind w:left="1134"/>
        <w:contextualSpacing/>
        <w:rPr>
          <w:rFonts w:ascii="Arial" w:eastAsia="Calibri" w:hAnsi="Arial" w:cs="Arial"/>
          <w:sz w:val="24"/>
          <w:szCs w:val="24"/>
        </w:rPr>
      </w:pPr>
      <w:r w:rsidRPr="000E6B56">
        <w:rPr>
          <w:rFonts w:ascii="Arial" w:eastAsia="Calibri" w:hAnsi="Arial" w:cs="Arial"/>
          <w:sz w:val="24"/>
          <w:szCs w:val="24"/>
        </w:rPr>
        <w:t>Take overall responsibility for resolving issues of non-compliance with the terms of service as set out in the 2013 Regulations by pharmacy and dispensing appliance contractors;</w:t>
      </w:r>
    </w:p>
    <w:p w14:paraId="41360E6F" w14:textId="77777777" w:rsidR="00F540C8" w:rsidRPr="002234CF" w:rsidRDefault="00F540C8" w:rsidP="00140628">
      <w:pPr>
        <w:spacing w:after="0" w:line="240" w:lineRule="auto"/>
        <w:ind w:left="1134"/>
        <w:contextualSpacing/>
        <w:rPr>
          <w:rFonts w:ascii="Arial" w:eastAsia="Calibri" w:hAnsi="Arial" w:cs="Arial"/>
          <w:sz w:val="16"/>
          <w:szCs w:val="16"/>
        </w:rPr>
      </w:pPr>
    </w:p>
    <w:p w14:paraId="51D47ED5" w14:textId="77777777" w:rsidR="00A46E62" w:rsidRDefault="006069DD" w:rsidP="00140628">
      <w:pPr>
        <w:numPr>
          <w:ilvl w:val="0"/>
          <w:numId w:val="8"/>
        </w:numPr>
        <w:spacing w:after="0" w:line="240" w:lineRule="auto"/>
        <w:ind w:left="1134"/>
        <w:contextualSpacing/>
        <w:rPr>
          <w:rFonts w:ascii="Arial" w:eastAsia="Calibri" w:hAnsi="Arial" w:cs="Arial"/>
          <w:sz w:val="24"/>
          <w:szCs w:val="24"/>
        </w:rPr>
      </w:pPr>
      <w:r w:rsidRPr="000E6B56">
        <w:rPr>
          <w:rFonts w:ascii="Arial" w:eastAsia="Calibri" w:hAnsi="Arial" w:cs="Arial"/>
          <w:sz w:val="24"/>
          <w:szCs w:val="24"/>
        </w:rPr>
        <w:t xml:space="preserve">Make decisions on whether an essential small pharmacy local pharmaceutical services </w:t>
      </w:r>
      <w:r w:rsidR="008750EE" w:rsidRPr="000E6B56">
        <w:rPr>
          <w:rFonts w:ascii="Arial" w:eastAsia="Calibri" w:hAnsi="Arial" w:cs="Arial"/>
          <w:sz w:val="24"/>
          <w:szCs w:val="24"/>
        </w:rPr>
        <w:t>(EPSLPS) contract is to be terminated in line with the provisions of the contract</w:t>
      </w:r>
    </w:p>
    <w:p w14:paraId="6012884B" w14:textId="77777777" w:rsidR="00A46E62" w:rsidRPr="002234CF" w:rsidRDefault="00A46E62" w:rsidP="00140628">
      <w:pPr>
        <w:pStyle w:val="ListParagraph"/>
        <w:spacing w:after="0" w:line="240" w:lineRule="auto"/>
        <w:ind w:left="1134"/>
        <w:rPr>
          <w:rFonts w:ascii="Arial" w:eastAsia="Calibri" w:hAnsi="Arial" w:cs="Arial"/>
          <w:sz w:val="16"/>
          <w:szCs w:val="16"/>
        </w:rPr>
      </w:pPr>
    </w:p>
    <w:p w14:paraId="42039A0F" w14:textId="77777777" w:rsidR="00A46E62" w:rsidRPr="00A46E62" w:rsidRDefault="00A46E62" w:rsidP="00140628">
      <w:pPr>
        <w:numPr>
          <w:ilvl w:val="0"/>
          <w:numId w:val="8"/>
        </w:numPr>
        <w:spacing w:after="0" w:line="240" w:lineRule="auto"/>
        <w:ind w:left="1134"/>
        <w:contextualSpacing/>
        <w:rPr>
          <w:rFonts w:ascii="Arial" w:eastAsia="Calibri" w:hAnsi="Arial" w:cs="Arial"/>
          <w:sz w:val="24"/>
          <w:szCs w:val="24"/>
        </w:rPr>
      </w:pPr>
      <w:r w:rsidRPr="00A46E62">
        <w:rPr>
          <w:rFonts w:ascii="Arial" w:eastAsia="Calibri" w:hAnsi="Arial" w:cs="Arial"/>
          <w:sz w:val="24"/>
          <w:szCs w:val="24"/>
        </w:rPr>
        <w:t xml:space="preserve">HWBs are responsible for identifying current or future needs for, or improvements or better access to, a pharmaceutical service or pharmaceutical services in general via the pharmaceutical needs assessment (PNA). </w:t>
      </w:r>
      <w:r>
        <w:rPr>
          <w:rFonts w:ascii="Arial" w:eastAsia="Calibri" w:hAnsi="Arial" w:cs="Arial"/>
          <w:sz w:val="24"/>
          <w:szCs w:val="24"/>
        </w:rPr>
        <w:t>The PSRC</w:t>
      </w:r>
      <w:r w:rsidRPr="00A46E62">
        <w:rPr>
          <w:rFonts w:ascii="Arial" w:eastAsia="Calibri" w:hAnsi="Arial" w:cs="Arial"/>
          <w:sz w:val="24"/>
          <w:szCs w:val="24"/>
        </w:rPr>
        <w:t xml:space="preserve"> is required to review the PNAs in its area and to record the actions taken to address identified needs, improvements or better access whether this is via the market entry process or through local commissioning processes.</w:t>
      </w:r>
      <w:r w:rsidR="00AA2B82">
        <w:rPr>
          <w:rFonts w:ascii="Arial" w:eastAsia="Calibri" w:hAnsi="Arial" w:cs="Arial"/>
          <w:sz w:val="24"/>
          <w:szCs w:val="24"/>
        </w:rPr>
        <w:t xml:space="preserve"> </w:t>
      </w:r>
    </w:p>
    <w:p w14:paraId="1F3A121C" w14:textId="77777777" w:rsidR="008750EE" w:rsidRPr="000E6B56" w:rsidRDefault="008750EE" w:rsidP="0028669E">
      <w:pPr>
        <w:spacing w:after="0" w:line="240" w:lineRule="auto"/>
        <w:contextualSpacing/>
        <w:rPr>
          <w:rFonts w:ascii="Arial" w:eastAsia="Calibri" w:hAnsi="Arial" w:cs="Arial"/>
          <w:sz w:val="24"/>
          <w:szCs w:val="24"/>
        </w:rPr>
      </w:pPr>
    </w:p>
    <w:p w14:paraId="11D57BCA" w14:textId="57D7393A" w:rsidR="008750EE" w:rsidRDefault="008750EE" w:rsidP="00140628">
      <w:pPr>
        <w:spacing w:after="0" w:line="240" w:lineRule="auto"/>
        <w:ind w:left="567"/>
        <w:contextualSpacing/>
        <w:rPr>
          <w:rFonts w:ascii="Arial" w:eastAsia="Calibri" w:hAnsi="Arial" w:cs="Arial"/>
          <w:sz w:val="24"/>
          <w:szCs w:val="24"/>
        </w:rPr>
      </w:pPr>
      <w:r w:rsidRPr="000E6B56">
        <w:rPr>
          <w:rFonts w:ascii="Arial" w:eastAsia="Calibri" w:hAnsi="Arial" w:cs="Arial"/>
          <w:sz w:val="24"/>
          <w:szCs w:val="24"/>
        </w:rPr>
        <w:t xml:space="preserve">Delegated authority is given to the nominated </w:t>
      </w:r>
      <w:r w:rsidR="00490111">
        <w:rPr>
          <w:rFonts w:ascii="Arial" w:eastAsia="Calibri" w:hAnsi="Arial" w:cs="Arial"/>
          <w:sz w:val="24"/>
          <w:szCs w:val="24"/>
        </w:rPr>
        <w:t xml:space="preserve">Pharmacy Contract Manager (PCM) or ICB equivalent </w:t>
      </w:r>
      <w:r w:rsidRPr="000E6B56">
        <w:rPr>
          <w:rFonts w:ascii="Arial" w:eastAsia="Calibri" w:hAnsi="Arial" w:cs="Arial"/>
          <w:sz w:val="24"/>
          <w:szCs w:val="24"/>
        </w:rPr>
        <w:t>to determine those applications and notifications</w:t>
      </w:r>
      <w:r w:rsidR="0024113D">
        <w:rPr>
          <w:rFonts w:ascii="Arial" w:eastAsia="Calibri" w:hAnsi="Arial" w:cs="Arial"/>
          <w:sz w:val="24"/>
          <w:szCs w:val="24"/>
        </w:rPr>
        <w:t xml:space="preserve"> delegated in the regulations</w:t>
      </w:r>
      <w:r w:rsidRPr="000E6B56">
        <w:rPr>
          <w:rFonts w:ascii="Arial" w:eastAsia="Calibri" w:hAnsi="Arial" w:cs="Arial"/>
          <w:sz w:val="24"/>
          <w:szCs w:val="24"/>
        </w:rPr>
        <w:t xml:space="preserve">.  Where necessary the nominated </w:t>
      </w:r>
      <w:r w:rsidR="00490111">
        <w:rPr>
          <w:rFonts w:ascii="Arial" w:eastAsia="Calibri" w:hAnsi="Arial" w:cs="Arial"/>
          <w:sz w:val="24"/>
          <w:szCs w:val="24"/>
        </w:rPr>
        <w:t>PCM</w:t>
      </w:r>
      <w:r w:rsidR="00FE21E4" w:rsidRPr="000E6B56">
        <w:rPr>
          <w:rFonts w:ascii="Arial" w:eastAsia="Calibri" w:hAnsi="Arial" w:cs="Arial"/>
          <w:sz w:val="24"/>
          <w:szCs w:val="24"/>
        </w:rPr>
        <w:t xml:space="preserve"> may escalate an application of notification to the PSRC.  If, due to annual or sick leave, the nominated </w:t>
      </w:r>
      <w:r w:rsidR="00490111">
        <w:rPr>
          <w:rFonts w:ascii="Arial" w:eastAsia="Calibri" w:hAnsi="Arial" w:cs="Arial"/>
          <w:sz w:val="24"/>
          <w:szCs w:val="24"/>
        </w:rPr>
        <w:t>PCM</w:t>
      </w:r>
      <w:r w:rsidR="00FE21E4" w:rsidRPr="000E6B56">
        <w:rPr>
          <w:rFonts w:ascii="Arial" w:eastAsia="Calibri" w:hAnsi="Arial" w:cs="Arial"/>
          <w:sz w:val="24"/>
          <w:szCs w:val="24"/>
        </w:rPr>
        <w:t xml:space="preserve"> is unable to determine an application or notification with the regulatory timescale it is to be determined by the PSRC.</w:t>
      </w:r>
    </w:p>
    <w:bookmarkEnd w:id="5"/>
    <w:p w14:paraId="45FAB007" w14:textId="77777777" w:rsidR="00F540C8" w:rsidRPr="000E6B56" w:rsidRDefault="00F540C8" w:rsidP="0028669E">
      <w:pPr>
        <w:spacing w:after="0" w:line="240" w:lineRule="auto"/>
        <w:ind w:left="720"/>
        <w:contextualSpacing/>
        <w:jc w:val="both"/>
        <w:rPr>
          <w:rFonts w:ascii="Arial" w:eastAsia="Calibri" w:hAnsi="Arial" w:cs="Arial"/>
          <w:sz w:val="24"/>
          <w:szCs w:val="24"/>
        </w:rPr>
      </w:pPr>
    </w:p>
    <w:p w14:paraId="3D3FC67F" w14:textId="77777777" w:rsidR="00013A80" w:rsidRPr="00140628" w:rsidRDefault="00013A80" w:rsidP="00140628">
      <w:pPr>
        <w:numPr>
          <w:ilvl w:val="0"/>
          <w:numId w:val="1"/>
        </w:numPr>
        <w:spacing w:after="0" w:line="240" w:lineRule="auto"/>
        <w:ind w:left="567" w:hanging="567"/>
        <w:contextualSpacing/>
        <w:jc w:val="both"/>
        <w:rPr>
          <w:rFonts w:ascii="Arial" w:eastAsia="SimSun" w:hAnsi="Arial" w:cs="Arial"/>
          <w:b/>
          <w:bCs/>
          <w:color w:val="5B9BD5" w:themeColor="accent5"/>
          <w:sz w:val="24"/>
          <w:szCs w:val="24"/>
        </w:rPr>
      </w:pPr>
      <w:r w:rsidRPr="00140628">
        <w:rPr>
          <w:rFonts w:ascii="Arial" w:eastAsia="SimSun" w:hAnsi="Arial" w:cs="Arial"/>
          <w:b/>
          <w:bCs/>
          <w:color w:val="5B9BD5" w:themeColor="accent5"/>
          <w:sz w:val="24"/>
          <w:szCs w:val="24"/>
        </w:rPr>
        <w:t xml:space="preserve"> Behaviours and Conduct</w:t>
      </w:r>
    </w:p>
    <w:p w14:paraId="52AEDAB1" w14:textId="77777777" w:rsidR="00013A80" w:rsidRPr="000E6B56" w:rsidRDefault="00013A80" w:rsidP="0028669E">
      <w:pPr>
        <w:spacing w:after="0" w:line="240" w:lineRule="auto"/>
        <w:contextualSpacing/>
        <w:jc w:val="both"/>
        <w:rPr>
          <w:rFonts w:ascii="Arial" w:eastAsia="Calibri" w:hAnsi="Arial" w:cs="Arial"/>
          <w:sz w:val="24"/>
          <w:szCs w:val="24"/>
        </w:rPr>
      </w:pPr>
    </w:p>
    <w:p w14:paraId="19088900" w14:textId="77777777" w:rsidR="00013A80" w:rsidRPr="000E6B56" w:rsidRDefault="00013A80" w:rsidP="00140628">
      <w:pPr>
        <w:spacing w:after="0" w:line="240" w:lineRule="auto"/>
        <w:ind w:left="567"/>
        <w:contextualSpacing/>
        <w:rPr>
          <w:rFonts w:ascii="Arial" w:eastAsia="Calibri" w:hAnsi="Arial" w:cs="Arial"/>
          <w:i/>
          <w:iCs/>
          <w:sz w:val="24"/>
          <w:szCs w:val="24"/>
          <w:u w:val="single"/>
        </w:rPr>
      </w:pPr>
      <w:r w:rsidRPr="000E6B56">
        <w:rPr>
          <w:rFonts w:ascii="Arial" w:eastAsia="Calibri" w:hAnsi="Arial" w:cs="Arial"/>
          <w:i/>
          <w:iCs/>
          <w:sz w:val="24"/>
          <w:szCs w:val="24"/>
          <w:u w:val="single"/>
        </w:rPr>
        <w:lastRenderedPageBreak/>
        <w:t>ICB values</w:t>
      </w:r>
    </w:p>
    <w:p w14:paraId="777C9086" w14:textId="77777777" w:rsidR="00013A80" w:rsidRPr="000E6B56" w:rsidRDefault="00013A80" w:rsidP="00140628">
      <w:pPr>
        <w:spacing w:after="0" w:line="240" w:lineRule="auto"/>
        <w:ind w:left="567"/>
        <w:contextualSpacing/>
        <w:rPr>
          <w:rFonts w:ascii="Arial" w:eastAsia="Calibri" w:hAnsi="Arial" w:cs="Arial"/>
          <w:sz w:val="24"/>
          <w:szCs w:val="24"/>
        </w:rPr>
      </w:pPr>
    </w:p>
    <w:p w14:paraId="00C1687C" w14:textId="72C8CB53" w:rsidR="00013A80" w:rsidRPr="000E6B56" w:rsidRDefault="00013A80" w:rsidP="00140628">
      <w:pPr>
        <w:spacing w:after="0" w:line="240" w:lineRule="auto"/>
        <w:ind w:left="567"/>
        <w:contextualSpacing/>
        <w:rPr>
          <w:rFonts w:ascii="Arial" w:eastAsia="Calibri" w:hAnsi="Arial" w:cs="Arial"/>
          <w:sz w:val="24"/>
          <w:szCs w:val="24"/>
        </w:rPr>
      </w:pPr>
      <w:r w:rsidRPr="000E6B56">
        <w:rPr>
          <w:rFonts w:ascii="Arial" w:eastAsia="Calibri" w:hAnsi="Arial" w:cs="Arial"/>
          <w:sz w:val="24"/>
          <w:szCs w:val="24"/>
        </w:rPr>
        <w:t xml:space="preserve">Members will be expected to conduct business in line with the ICB values and objectives.  Members of, and those attending, the </w:t>
      </w:r>
      <w:r w:rsidR="00140628">
        <w:rPr>
          <w:rFonts w:ascii="Arial" w:eastAsia="Calibri" w:hAnsi="Arial" w:cs="Arial"/>
          <w:sz w:val="24"/>
          <w:szCs w:val="24"/>
        </w:rPr>
        <w:t>PSRC</w:t>
      </w:r>
      <w:r w:rsidRPr="000E6B56">
        <w:rPr>
          <w:rFonts w:ascii="Arial" w:eastAsia="Calibri" w:hAnsi="Arial" w:cs="Arial"/>
          <w:sz w:val="24"/>
          <w:szCs w:val="24"/>
        </w:rPr>
        <w:t xml:space="preserve"> shall behave in accordance with the ICB’s Constitution, Standing Orders, and Standards of Business Conduct Policy.</w:t>
      </w:r>
    </w:p>
    <w:p w14:paraId="16D1FDA5" w14:textId="77777777" w:rsidR="00013A80" w:rsidRPr="000E6B56" w:rsidRDefault="00013A80" w:rsidP="00140628">
      <w:pPr>
        <w:spacing w:after="0" w:line="240" w:lineRule="auto"/>
        <w:ind w:left="567"/>
        <w:contextualSpacing/>
        <w:rPr>
          <w:rFonts w:ascii="Arial" w:eastAsia="Calibri" w:hAnsi="Arial" w:cs="Arial"/>
          <w:sz w:val="24"/>
          <w:szCs w:val="24"/>
        </w:rPr>
      </w:pPr>
    </w:p>
    <w:p w14:paraId="10FC56F2" w14:textId="77777777" w:rsidR="00013A80" w:rsidRPr="000E6B56" w:rsidRDefault="00013A80" w:rsidP="00140628">
      <w:pPr>
        <w:spacing w:after="0" w:line="240" w:lineRule="auto"/>
        <w:ind w:left="567"/>
        <w:contextualSpacing/>
        <w:rPr>
          <w:rFonts w:ascii="Arial" w:eastAsia="Calibri" w:hAnsi="Arial" w:cs="Arial"/>
          <w:i/>
          <w:iCs/>
          <w:sz w:val="24"/>
          <w:szCs w:val="24"/>
          <w:u w:val="single"/>
        </w:rPr>
      </w:pPr>
      <w:r w:rsidRPr="000E6B56">
        <w:rPr>
          <w:rFonts w:ascii="Arial" w:eastAsia="Calibri" w:hAnsi="Arial" w:cs="Arial"/>
          <w:i/>
          <w:iCs/>
          <w:sz w:val="24"/>
          <w:szCs w:val="24"/>
          <w:u w:val="single"/>
        </w:rPr>
        <w:t>Equality and diversity</w:t>
      </w:r>
    </w:p>
    <w:p w14:paraId="3BA04324" w14:textId="77777777" w:rsidR="00013A80" w:rsidRPr="000E6B56" w:rsidRDefault="00013A80" w:rsidP="00140628">
      <w:pPr>
        <w:spacing w:after="0" w:line="240" w:lineRule="auto"/>
        <w:ind w:left="567"/>
        <w:contextualSpacing/>
        <w:rPr>
          <w:rFonts w:ascii="Arial" w:eastAsia="Calibri" w:hAnsi="Arial" w:cs="Arial"/>
          <w:sz w:val="24"/>
          <w:szCs w:val="24"/>
        </w:rPr>
      </w:pPr>
    </w:p>
    <w:p w14:paraId="0E3C8746" w14:textId="1C2D2325" w:rsidR="00013A80" w:rsidRDefault="00013A80" w:rsidP="00140628">
      <w:pPr>
        <w:spacing w:after="0" w:line="240" w:lineRule="auto"/>
        <w:ind w:left="567"/>
        <w:contextualSpacing/>
        <w:rPr>
          <w:rFonts w:ascii="Arial" w:eastAsia="Calibri" w:hAnsi="Arial" w:cs="Arial"/>
          <w:sz w:val="24"/>
          <w:szCs w:val="24"/>
        </w:rPr>
      </w:pPr>
      <w:r w:rsidRPr="000E6B56">
        <w:rPr>
          <w:rFonts w:ascii="Arial" w:eastAsia="Calibri" w:hAnsi="Arial" w:cs="Arial"/>
          <w:sz w:val="24"/>
          <w:szCs w:val="24"/>
        </w:rPr>
        <w:t>Members must demonstrably consider the equality and diversity implications of decisions they make.</w:t>
      </w:r>
      <w:r w:rsidRPr="006A68B7">
        <w:rPr>
          <w:rFonts w:ascii="Arial" w:eastAsia="Calibri" w:hAnsi="Arial" w:cs="Arial"/>
          <w:sz w:val="24"/>
          <w:szCs w:val="24"/>
        </w:rPr>
        <w:t xml:space="preserve"> </w:t>
      </w:r>
    </w:p>
    <w:p w14:paraId="0AA9FCD0" w14:textId="77777777" w:rsidR="00140628" w:rsidRDefault="00140628" w:rsidP="00140628">
      <w:pPr>
        <w:spacing w:after="0" w:line="240" w:lineRule="auto"/>
        <w:ind w:left="567"/>
        <w:contextualSpacing/>
        <w:rPr>
          <w:rFonts w:ascii="Arial" w:eastAsia="Calibri" w:hAnsi="Arial" w:cs="Arial"/>
          <w:sz w:val="24"/>
          <w:szCs w:val="24"/>
        </w:rPr>
      </w:pPr>
    </w:p>
    <w:p w14:paraId="431E334A" w14:textId="77777777" w:rsidR="00013A80" w:rsidRDefault="00013A80" w:rsidP="0028669E">
      <w:pPr>
        <w:pStyle w:val="ListParagraph"/>
        <w:spacing w:after="0" w:line="240" w:lineRule="auto"/>
        <w:ind w:left="360"/>
        <w:jc w:val="both"/>
        <w:rPr>
          <w:rFonts w:ascii="Arial" w:eastAsia="Calibri" w:hAnsi="Arial" w:cs="Arial"/>
          <w:b/>
          <w:bCs/>
          <w:sz w:val="24"/>
          <w:szCs w:val="24"/>
        </w:rPr>
      </w:pPr>
    </w:p>
    <w:p w14:paraId="78A273D3" w14:textId="77777777" w:rsidR="00B75468" w:rsidRPr="00140628" w:rsidRDefault="00B75468" w:rsidP="00140628">
      <w:pPr>
        <w:pStyle w:val="ListParagraph"/>
        <w:numPr>
          <w:ilvl w:val="0"/>
          <w:numId w:val="1"/>
        </w:numPr>
        <w:spacing w:after="0" w:line="240" w:lineRule="auto"/>
        <w:ind w:left="567" w:hanging="567"/>
        <w:jc w:val="both"/>
        <w:rPr>
          <w:rFonts w:ascii="Arial" w:eastAsia="SimSun" w:hAnsi="Arial" w:cs="Arial"/>
          <w:b/>
          <w:bCs/>
          <w:color w:val="5B9BD5" w:themeColor="accent5"/>
          <w:sz w:val="24"/>
          <w:szCs w:val="24"/>
        </w:rPr>
      </w:pPr>
      <w:r w:rsidRPr="00140628">
        <w:rPr>
          <w:rFonts w:ascii="Arial" w:eastAsia="SimSun" w:hAnsi="Arial" w:cs="Arial"/>
          <w:b/>
          <w:bCs/>
          <w:color w:val="5B9BD5" w:themeColor="accent5"/>
          <w:sz w:val="24"/>
          <w:szCs w:val="24"/>
        </w:rPr>
        <w:t>A</w:t>
      </w:r>
      <w:r w:rsidR="00013A80" w:rsidRPr="00140628">
        <w:rPr>
          <w:rFonts w:ascii="Arial" w:eastAsia="SimSun" w:hAnsi="Arial" w:cs="Arial"/>
          <w:b/>
          <w:bCs/>
          <w:color w:val="5B9BD5" w:themeColor="accent5"/>
          <w:sz w:val="24"/>
          <w:szCs w:val="24"/>
        </w:rPr>
        <w:t xml:space="preserve">ccountability and Reporting </w:t>
      </w:r>
    </w:p>
    <w:p w14:paraId="0B424C9B" w14:textId="77777777" w:rsidR="00B75468" w:rsidRPr="00B75468" w:rsidRDefault="00B75468" w:rsidP="0028669E">
      <w:pPr>
        <w:spacing w:after="0" w:line="240" w:lineRule="auto"/>
        <w:ind w:left="360"/>
        <w:contextualSpacing/>
        <w:jc w:val="both"/>
        <w:rPr>
          <w:rFonts w:ascii="Arial" w:eastAsia="Calibri" w:hAnsi="Arial" w:cs="Arial"/>
          <w:b/>
          <w:bCs/>
          <w:caps/>
          <w:sz w:val="24"/>
          <w:szCs w:val="24"/>
        </w:rPr>
      </w:pPr>
    </w:p>
    <w:p w14:paraId="09819FF7" w14:textId="6E221088" w:rsidR="00E9011F" w:rsidRDefault="00B75468" w:rsidP="00140628">
      <w:pPr>
        <w:spacing w:after="0" w:line="240" w:lineRule="auto"/>
        <w:ind w:left="567"/>
        <w:contextualSpacing/>
        <w:rPr>
          <w:rFonts w:ascii="Arial" w:eastAsia="Calibri" w:hAnsi="Arial" w:cs="Arial"/>
          <w:sz w:val="24"/>
          <w:szCs w:val="24"/>
        </w:rPr>
      </w:pPr>
      <w:r w:rsidRPr="00B75468">
        <w:rPr>
          <w:rFonts w:ascii="Arial" w:eastAsia="Calibri" w:hAnsi="Arial" w:cs="Arial"/>
          <w:sz w:val="24"/>
          <w:szCs w:val="24"/>
        </w:rPr>
        <w:t xml:space="preserve">The </w:t>
      </w:r>
      <w:r w:rsidR="00FE21E4">
        <w:rPr>
          <w:rFonts w:ascii="Arial" w:eastAsia="Calibri" w:hAnsi="Arial" w:cs="Arial"/>
          <w:sz w:val="24"/>
          <w:szCs w:val="24"/>
        </w:rPr>
        <w:t xml:space="preserve">PSRC </w:t>
      </w:r>
      <w:r w:rsidRPr="00B75468">
        <w:rPr>
          <w:rFonts w:ascii="Arial" w:eastAsia="Calibri" w:hAnsi="Arial" w:cs="Arial"/>
          <w:sz w:val="24"/>
          <w:szCs w:val="24"/>
        </w:rPr>
        <w:t>is accountable to the ICB</w:t>
      </w:r>
      <w:r w:rsidR="00FE21E4">
        <w:rPr>
          <w:rFonts w:ascii="Arial" w:eastAsia="Calibri" w:hAnsi="Arial" w:cs="Arial"/>
          <w:sz w:val="24"/>
          <w:szCs w:val="24"/>
        </w:rPr>
        <w:t xml:space="preserve"> through the Executive Committee</w:t>
      </w:r>
      <w:r w:rsidRPr="00B75468">
        <w:rPr>
          <w:rFonts w:ascii="Arial" w:eastAsia="Calibri" w:hAnsi="Arial" w:cs="Arial"/>
          <w:sz w:val="24"/>
          <w:szCs w:val="24"/>
        </w:rPr>
        <w:t>. The minutes of meetings shall be formally recorded</w:t>
      </w:r>
      <w:r w:rsidR="0031594E">
        <w:rPr>
          <w:rFonts w:ascii="Arial" w:eastAsia="Calibri" w:hAnsi="Arial" w:cs="Arial"/>
          <w:sz w:val="24"/>
          <w:szCs w:val="24"/>
        </w:rPr>
        <w:t xml:space="preserve"> and submitted to the </w:t>
      </w:r>
      <w:r w:rsidR="00FE21E4">
        <w:rPr>
          <w:rFonts w:ascii="Arial" w:eastAsia="Calibri" w:hAnsi="Arial" w:cs="Arial"/>
          <w:sz w:val="24"/>
          <w:szCs w:val="24"/>
        </w:rPr>
        <w:t>Primary Care</w:t>
      </w:r>
      <w:r w:rsidR="00517627">
        <w:rPr>
          <w:rFonts w:ascii="Arial" w:eastAsia="Calibri" w:hAnsi="Arial" w:cs="Arial"/>
          <w:sz w:val="24"/>
          <w:szCs w:val="24"/>
        </w:rPr>
        <w:t xml:space="preserve"> Strategy and Delivery </w:t>
      </w:r>
      <w:r w:rsidR="00FE21E4">
        <w:rPr>
          <w:rFonts w:ascii="Arial" w:eastAsia="Calibri" w:hAnsi="Arial" w:cs="Arial"/>
          <w:sz w:val="24"/>
          <w:szCs w:val="24"/>
        </w:rPr>
        <w:t>Sub</w:t>
      </w:r>
      <w:r w:rsidR="001C2C67">
        <w:rPr>
          <w:rFonts w:ascii="Arial" w:eastAsia="Calibri" w:hAnsi="Arial" w:cs="Arial"/>
          <w:sz w:val="24"/>
          <w:szCs w:val="24"/>
        </w:rPr>
        <w:t>c</w:t>
      </w:r>
      <w:r w:rsidR="00FE21E4">
        <w:rPr>
          <w:rFonts w:ascii="Arial" w:eastAsia="Calibri" w:hAnsi="Arial" w:cs="Arial"/>
          <w:sz w:val="24"/>
          <w:szCs w:val="24"/>
        </w:rPr>
        <w:t>ommittee and then onward to the Executive Committee</w:t>
      </w:r>
      <w:r w:rsidR="00E9011F">
        <w:rPr>
          <w:rFonts w:ascii="Arial" w:eastAsia="Calibri" w:hAnsi="Arial" w:cs="Arial"/>
          <w:sz w:val="24"/>
          <w:szCs w:val="24"/>
        </w:rPr>
        <w:t>, in private or public as appropriate</w:t>
      </w:r>
      <w:r w:rsidRPr="00B75468">
        <w:rPr>
          <w:rFonts w:ascii="Arial" w:eastAsia="Calibri" w:hAnsi="Arial" w:cs="Arial"/>
          <w:sz w:val="24"/>
          <w:szCs w:val="24"/>
        </w:rPr>
        <w:t xml:space="preserve">.  </w:t>
      </w:r>
    </w:p>
    <w:p w14:paraId="4CE28F69" w14:textId="77777777" w:rsidR="00E9011F" w:rsidRDefault="00E9011F" w:rsidP="00140628">
      <w:pPr>
        <w:spacing w:after="0" w:line="240" w:lineRule="auto"/>
        <w:ind w:left="567"/>
        <w:contextualSpacing/>
        <w:rPr>
          <w:rFonts w:ascii="Arial" w:eastAsia="Calibri" w:hAnsi="Arial" w:cs="Arial"/>
          <w:sz w:val="24"/>
          <w:szCs w:val="24"/>
        </w:rPr>
      </w:pPr>
    </w:p>
    <w:p w14:paraId="2AA49054" w14:textId="51BA4763" w:rsidR="00B75468" w:rsidRPr="00B75468" w:rsidRDefault="00B75468" w:rsidP="00140628">
      <w:pPr>
        <w:spacing w:after="0" w:line="240" w:lineRule="auto"/>
        <w:ind w:left="567"/>
        <w:contextualSpacing/>
        <w:rPr>
          <w:rFonts w:ascii="Arial" w:eastAsia="Calibri" w:hAnsi="Arial" w:cs="Arial"/>
          <w:sz w:val="24"/>
          <w:szCs w:val="24"/>
        </w:rPr>
      </w:pPr>
      <w:r w:rsidRPr="00AD3162">
        <w:rPr>
          <w:rFonts w:ascii="Arial" w:eastAsia="Calibri" w:hAnsi="Arial" w:cs="Arial"/>
          <w:sz w:val="24"/>
          <w:szCs w:val="24"/>
        </w:rPr>
        <w:t>The Chair of the</w:t>
      </w:r>
      <w:r w:rsidR="00A46E62">
        <w:rPr>
          <w:rFonts w:ascii="Arial" w:eastAsia="Calibri" w:hAnsi="Arial" w:cs="Arial"/>
          <w:sz w:val="24"/>
          <w:szCs w:val="24"/>
        </w:rPr>
        <w:t xml:space="preserve"> </w:t>
      </w:r>
      <w:r w:rsidR="00140628">
        <w:rPr>
          <w:rFonts w:ascii="Arial" w:eastAsia="Calibri" w:hAnsi="Arial" w:cs="Arial"/>
          <w:sz w:val="24"/>
          <w:szCs w:val="24"/>
        </w:rPr>
        <w:t>PSRC</w:t>
      </w:r>
      <w:r w:rsidRPr="00AD3162">
        <w:rPr>
          <w:rFonts w:ascii="Arial" w:eastAsia="Calibri" w:hAnsi="Arial" w:cs="Arial"/>
          <w:sz w:val="24"/>
          <w:szCs w:val="24"/>
        </w:rPr>
        <w:t xml:space="preserve"> shall report to the </w:t>
      </w:r>
      <w:r w:rsidR="001C2C67" w:rsidRPr="001C2C67">
        <w:rPr>
          <w:rFonts w:ascii="Arial" w:eastAsia="Calibri" w:hAnsi="Arial" w:cs="Arial"/>
          <w:sz w:val="24"/>
          <w:szCs w:val="24"/>
        </w:rPr>
        <w:t>Primary Care Strategy and Delivery Sub</w:t>
      </w:r>
      <w:r w:rsidR="00140628">
        <w:rPr>
          <w:rFonts w:ascii="Arial" w:eastAsia="Calibri" w:hAnsi="Arial" w:cs="Arial"/>
          <w:sz w:val="24"/>
          <w:szCs w:val="24"/>
        </w:rPr>
        <w:t>c</w:t>
      </w:r>
      <w:r w:rsidR="001C2C67" w:rsidRPr="001C2C67">
        <w:rPr>
          <w:rFonts w:ascii="Arial" w:eastAsia="Calibri" w:hAnsi="Arial" w:cs="Arial"/>
          <w:sz w:val="24"/>
          <w:szCs w:val="24"/>
        </w:rPr>
        <w:t>ommittee</w:t>
      </w:r>
      <w:r w:rsidRPr="00AD3162">
        <w:rPr>
          <w:rFonts w:ascii="Arial" w:eastAsia="Calibri" w:hAnsi="Arial" w:cs="Arial"/>
          <w:sz w:val="24"/>
          <w:szCs w:val="24"/>
        </w:rPr>
        <w:t xml:space="preserve"> after each meeting and provide a report on assurances received, escalating any concerns where necessary.</w:t>
      </w:r>
      <w:r w:rsidRPr="00B75468">
        <w:rPr>
          <w:rFonts w:ascii="Arial" w:eastAsia="Calibri" w:hAnsi="Arial" w:cs="Arial"/>
          <w:sz w:val="24"/>
          <w:szCs w:val="24"/>
        </w:rPr>
        <w:t xml:space="preserve"> </w:t>
      </w:r>
    </w:p>
    <w:p w14:paraId="0641B08C" w14:textId="77777777" w:rsidR="00F542D4" w:rsidRDefault="00F542D4" w:rsidP="00140628">
      <w:pPr>
        <w:spacing w:after="0" w:line="240" w:lineRule="auto"/>
        <w:ind w:left="567"/>
        <w:contextualSpacing/>
        <w:rPr>
          <w:rFonts w:ascii="Arial" w:eastAsia="Calibri" w:hAnsi="Arial" w:cs="Arial"/>
          <w:sz w:val="24"/>
          <w:szCs w:val="24"/>
        </w:rPr>
      </w:pPr>
    </w:p>
    <w:p w14:paraId="211EB005" w14:textId="443B86ED" w:rsidR="00B75468" w:rsidRPr="00B75468" w:rsidRDefault="00B75468" w:rsidP="00140628">
      <w:pPr>
        <w:spacing w:after="0" w:line="240" w:lineRule="auto"/>
        <w:ind w:left="567"/>
        <w:contextualSpacing/>
        <w:rPr>
          <w:rFonts w:ascii="Arial" w:eastAsia="Calibri" w:hAnsi="Arial" w:cs="Arial"/>
          <w:sz w:val="24"/>
          <w:szCs w:val="24"/>
        </w:rPr>
      </w:pPr>
      <w:r w:rsidRPr="00B75468">
        <w:rPr>
          <w:rFonts w:ascii="Arial" w:eastAsia="Calibri" w:hAnsi="Arial" w:cs="Arial"/>
          <w:sz w:val="24"/>
          <w:szCs w:val="24"/>
        </w:rPr>
        <w:t xml:space="preserve">The </w:t>
      </w:r>
      <w:r w:rsidR="00EC5AED">
        <w:rPr>
          <w:rFonts w:ascii="Arial" w:eastAsia="Calibri" w:hAnsi="Arial" w:cs="Arial"/>
          <w:sz w:val="24"/>
          <w:szCs w:val="24"/>
        </w:rPr>
        <w:t>PRSC</w:t>
      </w:r>
      <w:r w:rsidR="00140628">
        <w:rPr>
          <w:rFonts w:ascii="Arial" w:eastAsia="Calibri" w:hAnsi="Arial" w:cs="Arial"/>
          <w:sz w:val="24"/>
          <w:szCs w:val="24"/>
        </w:rPr>
        <w:t>,</w:t>
      </w:r>
      <w:r w:rsidR="00EC5AED">
        <w:rPr>
          <w:rFonts w:ascii="Arial" w:eastAsia="Calibri" w:hAnsi="Arial" w:cs="Arial"/>
          <w:sz w:val="24"/>
          <w:szCs w:val="24"/>
        </w:rPr>
        <w:t xml:space="preserve"> through its reports and minutes to the </w:t>
      </w:r>
      <w:r w:rsidR="001C2C67">
        <w:rPr>
          <w:rFonts w:ascii="Arial" w:eastAsia="Calibri" w:hAnsi="Arial" w:cs="Arial"/>
          <w:sz w:val="24"/>
          <w:szCs w:val="24"/>
        </w:rPr>
        <w:t>Executive Committee</w:t>
      </w:r>
      <w:r w:rsidR="00140628">
        <w:rPr>
          <w:rFonts w:ascii="Arial" w:eastAsia="Calibri" w:hAnsi="Arial" w:cs="Arial"/>
          <w:sz w:val="24"/>
          <w:szCs w:val="24"/>
        </w:rPr>
        <w:t xml:space="preserve"> and</w:t>
      </w:r>
      <w:r w:rsidR="00EC5AED">
        <w:rPr>
          <w:rFonts w:ascii="Arial" w:eastAsia="Calibri" w:hAnsi="Arial" w:cs="Arial"/>
          <w:sz w:val="24"/>
          <w:szCs w:val="24"/>
        </w:rPr>
        <w:t xml:space="preserve"> via the </w:t>
      </w:r>
      <w:r w:rsidR="001C2C67" w:rsidRPr="001C2C67">
        <w:rPr>
          <w:rFonts w:ascii="Arial" w:eastAsia="Calibri" w:hAnsi="Arial" w:cs="Arial"/>
          <w:sz w:val="24"/>
          <w:szCs w:val="24"/>
        </w:rPr>
        <w:t>Primary Care Strategy and Delivery Sub</w:t>
      </w:r>
      <w:r w:rsidR="001C2C67">
        <w:rPr>
          <w:rFonts w:ascii="Arial" w:eastAsia="Calibri" w:hAnsi="Arial" w:cs="Arial"/>
          <w:sz w:val="24"/>
          <w:szCs w:val="24"/>
        </w:rPr>
        <w:t>c</w:t>
      </w:r>
      <w:r w:rsidR="001C2C67" w:rsidRPr="001C2C67">
        <w:rPr>
          <w:rFonts w:ascii="Arial" w:eastAsia="Calibri" w:hAnsi="Arial" w:cs="Arial"/>
          <w:sz w:val="24"/>
          <w:szCs w:val="24"/>
        </w:rPr>
        <w:t>ommittee</w:t>
      </w:r>
      <w:r w:rsidR="00140628">
        <w:rPr>
          <w:rFonts w:ascii="Arial" w:eastAsia="Calibri" w:hAnsi="Arial" w:cs="Arial"/>
          <w:sz w:val="24"/>
          <w:szCs w:val="24"/>
        </w:rPr>
        <w:t>,</w:t>
      </w:r>
      <w:r w:rsidR="001C2C67" w:rsidRPr="001C2C67">
        <w:rPr>
          <w:rFonts w:ascii="Arial" w:eastAsia="Calibri" w:hAnsi="Arial" w:cs="Arial"/>
          <w:sz w:val="24"/>
          <w:szCs w:val="24"/>
        </w:rPr>
        <w:t xml:space="preserve"> </w:t>
      </w:r>
      <w:r w:rsidRPr="00B75468">
        <w:rPr>
          <w:rFonts w:ascii="Arial" w:eastAsia="Calibri" w:hAnsi="Arial" w:cs="Arial"/>
          <w:sz w:val="24"/>
          <w:szCs w:val="24"/>
        </w:rPr>
        <w:t xml:space="preserve">will advise the on the adequacy of assurances available and contribute to the </w:t>
      </w:r>
      <w:r w:rsidR="00140628">
        <w:rPr>
          <w:rFonts w:ascii="Arial" w:eastAsia="Calibri" w:hAnsi="Arial" w:cs="Arial"/>
          <w:sz w:val="24"/>
          <w:szCs w:val="24"/>
        </w:rPr>
        <w:t xml:space="preserve">ICB's </w:t>
      </w:r>
      <w:r w:rsidRPr="00B75468">
        <w:rPr>
          <w:rFonts w:ascii="Arial" w:eastAsia="Calibri" w:hAnsi="Arial" w:cs="Arial"/>
          <w:sz w:val="24"/>
          <w:szCs w:val="24"/>
        </w:rPr>
        <w:t>Annual Governance Statement</w:t>
      </w:r>
      <w:r w:rsidR="0031594E">
        <w:rPr>
          <w:rFonts w:ascii="Arial" w:eastAsia="Calibri" w:hAnsi="Arial" w:cs="Arial"/>
          <w:sz w:val="24"/>
          <w:szCs w:val="24"/>
        </w:rPr>
        <w:t>.</w:t>
      </w:r>
    </w:p>
    <w:p w14:paraId="31537C65" w14:textId="77777777" w:rsidR="00F542D4" w:rsidRDefault="00F542D4" w:rsidP="00140628">
      <w:pPr>
        <w:spacing w:after="0" w:line="240" w:lineRule="auto"/>
        <w:ind w:left="567"/>
        <w:contextualSpacing/>
        <w:rPr>
          <w:rFonts w:ascii="Arial" w:eastAsia="Calibri" w:hAnsi="Arial" w:cs="Arial"/>
          <w:sz w:val="24"/>
          <w:szCs w:val="24"/>
        </w:rPr>
      </w:pPr>
    </w:p>
    <w:p w14:paraId="6AD7FA97" w14:textId="319DC1E3" w:rsidR="00B75468" w:rsidRDefault="00B75468" w:rsidP="00140628">
      <w:pPr>
        <w:spacing w:after="0" w:line="240" w:lineRule="auto"/>
        <w:ind w:left="567"/>
        <w:contextualSpacing/>
        <w:rPr>
          <w:rFonts w:ascii="Arial" w:eastAsia="Calibri" w:hAnsi="Arial" w:cs="Arial"/>
          <w:sz w:val="24"/>
          <w:szCs w:val="24"/>
        </w:rPr>
      </w:pPr>
      <w:r w:rsidRPr="00B75468">
        <w:rPr>
          <w:rFonts w:ascii="Arial" w:eastAsia="Calibri" w:hAnsi="Arial" w:cs="Arial"/>
          <w:sz w:val="24"/>
          <w:szCs w:val="24"/>
        </w:rPr>
        <w:t xml:space="preserve">The </w:t>
      </w:r>
      <w:r w:rsidR="00140628">
        <w:rPr>
          <w:rFonts w:ascii="Arial" w:eastAsia="Calibri" w:hAnsi="Arial" w:cs="Arial"/>
          <w:sz w:val="24"/>
          <w:szCs w:val="24"/>
        </w:rPr>
        <w:t>PSRC</w:t>
      </w:r>
      <w:r w:rsidRPr="00B75468">
        <w:rPr>
          <w:rFonts w:ascii="Arial" w:eastAsia="Calibri" w:hAnsi="Arial" w:cs="Arial"/>
          <w:sz w:val="24"/>
          <w:szCs w:val="24"/>
        </w:rPr>
        <w:t xml:space="preserve"> will receive scheduled assurance report</w:t>
      </w:r>
      <w:r w:rsidR="0031594E">
        <w:rPr>
          <w:rFonts w:ascii="Arial" w:eastAsia="Calibri" w:hAnsi="Arial" w:cs="Arial"/>
          <w:sz w:val="24"/>
          <w:szCs w:val="24"/>
        </w:rPr>
        <w:t>s</w:t>
      </w:r>
      <w:r w:rsidRPr="00B75468">
        <w:rPr>
          <w:rFonts w:ascii="Arial" w:eastAsia="Calibri" w:hAnsi="Arial" w:cs="Arial"/>
          <w:sz w:val="24"/>
          <w:szCs w:val="24"/>
        </w:rPr>
        <w:t xml:space="preserve"> from its delegated groups</w:t>
      </w:r>
      <w:r w:rsidR="0031594E">
        <w:rPr>
          <w:rFonts w:ascii="Arial" w:eastAsia="Calibri" w:hAnsi="Arial" w:cs="Arial"/>
          <w:sz w:val="24"/>
          <w:szCs w:val="24"/>
        </w:rPr>
        <w:t xml:space="preserve">. </w:t>
      </w:r>
      <w:r w:rsidR="00F542D4">
        <w:rPr>
          <w:rFonts w:ascii="Arial" w:eastAsia="Calibri" w:hAnsi="Arial" w:cs="Arial"/>
          <w:sz w:val="24"/>
          <w:szCs w:val="24"/>
        </w:rPr>
        <w:t>Any delegated groups</w:t>
      </w:r>
      <w:r w:rsidR="0031594E">
        <w:rPr>
          <w:rFonts w:ascii="Arial" w:eastAsia="Calibri" w:hAnsi="Arial" w:cs="Arial"/>
          <w:sz w:val="24"/>
          <w:szCs w:val="24"/>
        </w:rPr>
        <w:t xml:space="preserve"> or sub</w:t>
      </w:r>
      <w:r w:rsidR="001C2C67">
        <w:rPr>
          <w:rFonts w:ascii="Arial" w:eastAsia="Calibri" w:hAnsi="Arial" w:cs="Arial"/>
          <w:sz w:val="24"/>
          <w:szCs w:val="24"/>
        </w:rPr>
        <w:t>-</w:t>
      </w:r>
      <w:r w:rsidR="0031594E">
        <w:rPr>
          <w:rFonts w:ascii="Arial" w:eastAsia="Calibri" w:hAnsi="Arial" w:cs="Arial"/>
          <w:sz w:val="24"/>
          <w:szCs w:val="24"/>
        </w:rPr>
        <w:t>committees</w:t>
      </w:r>
      <w:r w:rsidR="00F542D4">
        <w:rPr>
          <w:rFonts w:ascii="Arial" w:eastAsia="Calibri" w:hAnsi="Arial" w:cs="Arial"/>
          <w:sz w:val="24"/>
          <w:szCs w:val="24"/>
        </w:rPr>
        <w:t xml:space="preserve"> would need to be agreed by the ICB Board.</w:t>
      </w:r>
    </w:p>
    <w:p w14:paraId="7AB57321" w14:textId="77777777" w:rsidR="006A68B7" w:rsidRDefault="006A68B7" w:rsidP="0028669E">
      <w:pPr>
        <w:spacing w:after="0" w:line="240" w:lineRule="auto"/>
        <w:contextualSpacing/>
        <w:jc w:val="both"/>
        <w:rPr>
          <w:rFonts w:ascii="Arial" w:eastAsia="Calibri" w:hAnsi="Arial" w:cs="Arial"/>
          <w:sz w:val="24"/>
          <w:szCs w:val="24"/>
        </w:rPr>
      </w:pPr>
    </w:p>
    <w:p w14:paraId="1E0EB7FE" w14:textId="77777777" w:rsidR="00B75468" w:rsidRPr="00140628" w:rsidRDefault="00B75468" w:rsidP="00140628">
      <w:pPr>
        <w:numPr>
          <w:ilvl w:val="0"/>
          <w:numId w:val="1"/>
        </w:numPr>
        <w:spacing w:after="0" w:line="240" w:lineRule="auto"/>
        <w:ind w:left="567" w:hanging="567"/>
        <w:contextualSpacing/>
        <w:jc w:val="both"/>
        <w:rPr>
          <w:rFonts w:ascii="Arial" w:eastAsia="SimSun" w:hAnsi="Arial" w:cs="Arial"/>
          <w:b/>
          <w:bCs/>
          <w:color w:val="5B9BD5" w:themeColor="accent5"/>
          <w:sz w:val="24"/>
          <w:szCs w:val="24"/>
        </w:rPr>
      </w:pPr>
      <w:r w:rsidRPr="00140628">
        <w:rPr>
          <w:rFonts w:ascii="Arial" w:eastAsia="SimSun" w:hAnsi="Arial" w:cs="Arial"/>
          <w:b/>
          <w:bCs/>
          <w:color w:val="5B9BD5" w:themeColor="accent5"/>
          <w:sz w:val="24"/>
          <w:szCs w:val="24"/>
        </w:rPr>
        <w:t>D</w:t>
      </w:r>
      <w:r w:rsidR="00E066D7" w:rsidRPr="00140628">
        <w:rPr>
          <w:rFonts w:ascii="Arial" w:eastAsia="SimSun" w:hAnsi="Arial" w:cs="Arial"/>
          <w:b/>
          <w:bCs/>
          <w:color w:val="5B9BD5" w:themeColor="accent5"/>
          <w:sz w:val="24"/>
          <w:szCs w:val="24"/>
        </w:rPr>
        <w:t>eclarations of Interest</w:t>
      </w:r>
    </w:p>
    <w:p w14:paraId="35B5609E" w14:textId="77777777" w:rsidR="00F542D4" w:rsidRPr="00B75468" w:rsidRDefault="00F542D4" w:rsidP="0028669E">
      <w:pPr>
        <w:spacing w:after="0" w:line="240" w:lineRule="auto"/>
        <w:ind w:left="360"/>
        <w:contextualSpacing/>
        <w:jc w:val="both"/>
        <w:rPr>
          <w:rFonts w:ascii="Arial" w:eastAsia="Calibri" w:hAnsi="Arial" w:cs="Arial"/>
          <w:b/>
          <w:bCs/>
          <w:sz w:val="24"/>
          <w:szCs w:val="24"/>
        </w:rPr>
      </w:pPr>
    </w:p>
    <w:p w14:paraId="0A4862F8" w14:textId="77777777" w:rsidR="00B75468" w:rsidRDefault="00B75468" w:rsidP="00140628">
      <w:pPr>
        <w:spacing w:after="0" w:line="240" w:lineRule="auto"/>
        <w:ind w:left="567"/>
        <w:contextualSpacing/>
        <w:rPr>
          <w:rFonts w:ascii="Arial" w:eastAsia="Calibri" w:hAnsi="Arial" w:cs="Arial"/>
          <w:sz w:val="24"/>
          <w:szCs w:val="24"/>
        </w:rPr>
      </w:pPr>
      <w:r w:rsidRPr="007272B5">
        <w:rPr>
          <w:rFonts w:ascii="Arial" w:eastAsia="Calibri" w:hAnsi="Arial" w:cs="Arial"/>
          <w:sz w:val="24"/>
          <w:szCs w:val="24"/>
        </w:rPr>
        <w:t xml:space="preserve">All members and those in attendance must declare any actual or potential conflicts of interest which will be recorded in the minutes. Anyone with a relevant or material interest in a matter under consideration will be excluded from the discussion at the discretion of the </w:t>
      </w:r>
      <w:r w:rsidR="001C2C67">
        <w:rPr>
          <w:rFonts w:ascii="Arial" w:eastAsia="Calibri" w:hAnsi="Arial" w:cs="Arial"/>
          <w:sz w:val="24"/>
          <w:szCs w:val="24"/>
        </w:rPr>
        <w:t>Sub-c</w:t>
      </w:r>
      <w:r w:rsidRPr="007272B5">
        <w:rPr>
          <w:rFonts w:ascii="Arial" w:eastAsia="Calibri" w:hAnsi="Arial" w:cs="Arial"/>
          <w:sz w:val="24"/>
          <w:szCs w:val="24"/>
        </w:rPr>
        <w:t>ommittee Chair.</w:t>
      </w:r>
      <w:r w:rsidRPr="00B75468">
        <w:rPr>
          <w:rFonts w:ascii="Arial" w:eastAsia="Calibri" w:hAnsi="Arial" w:cs="Arial"/>
          <w:sz w:val="24"/>
          <w:szCs w:val="24"/>
        </w:rPr>
        <w:t xml:space="preserve"> </w:t>
      </w:r>
    </w:p>
    <w:p w14:paraId="16098835" w14:textId="77777777" w:rsidR="00487737" w:rsidRDefault="00487737" w:rsidP="00140628">
      <w:pPr>
        <w:spacing w:after="0" w:line="240" w:lineRule="auto"/>
        <w:ind w:left="567"/>
        <w:contextualSpacing/>
        <w:rPr>
          <w:rFonts w:ascii="Arial" w:eastAsia="Calibri" w:hAnsi="Arial" w:cs="Arial"/>
          <w:sz w:val="24"/>
          <w:szCs w:val="24"/>
        </w:rPr>
      </w:pPr>
    </w:p>
    <w:p w14:paraId="06BB1101" w14:textId="72192BF3" w:rsidR="00B75468" w:rsidRPr="00140628" w:rsidRDefault="00FE2865" w:rsidP="00140628">
      <w:pPr>
        <w:pStyle w:val="ListParagraph"/>
        <w:numPr>
          <w:ilvl w:val="0"/>
          <w:numId w:val="1"/>
        </w:numPr>
        <w:spacing w:after="0" w:line="240" w:lineRule="auto"/>
        <w:ind w:left="567" w:hanging="567"/>
        <w:jc w:val="both"/>
        <w:rPr>
          <w:rFonts w:ascii="Arial" w:eastAsia="SimSun" w:hAnsi="Arial" w:cs="Arial"/>
          <w:b/>
          <w:bCs/>
          <w:color w:val="5B9BD5" w:themeColor="accent5"/>
          <w:sz w:val="24"/>
          <w:szCs w:val="24"/>
        </w:rPr>
      </w:pPr>
      <w:r w:rsidRPr="00140628">
        <w:rPr>
          <w:rFonts w:ascii="Arial" w:eastAsia="SimSun" w:hAnsi="Arial" w:cs="Arial"/>
          <w:b/>
          <w:bCs/>
          <w:color w:val="5B9BD5" w:themeColor="accent5"/>
          <w:sz w:val="24"/>
          <w:szCs w:val="24"/>
        </w:rPr>
        <w:t>S</w:t>
      </w:r>
      <w:r w:rsidR="00361BF6" w:rsidRPr="00140628">
        <w:rPr>
          <w:rFonts w:ascii="Arial" w:eastAsia="SimSun" w:hAnsi="Arial" w:cs="Arial"/>
          <w:b/>
          <w:bCs/>
          <w:color w:val="5B9BD5" w:themeColor="accent5"/>
          <w:sz w:val="24"/>
          <w:szCs w:val="24"/>
        </w:rPr>
        <w:t xml:space="preserve">ecretariat and Administration </w:t>
      </w:r>
    </w:p>
    <w:p w14:paraId="51880C3C" w14:textId="77777777" w:rsidR="00361BF6" w:rsidRPr="00361BF6" w:rsidRDefault="00361BF6" w:rsidP="0028669E">
      <w:pPr>
        <w:pStyle w:val="ListParagraph"/>
        <w:spacing w:after="0" w:line="240" w:lineRule="auto"/>
        <w:ind w:left="360"/>
        <w:jc w:val="both"/>
        <w:rPr>
          <w:rFonts w:ascii="Arial" w:eastAsia="SimSun" w:hAnsi="Arial" w:cs="Arial"/>
          <w:b/>
          <w:bCs/>
          <w:color w:val="9BBB59"/>
          <w:sz w:val="24"/>
          <w:szCs w:val="24"/>
        </w:rPr>
      </w:pPr>
    </w:p>
    <w:p w14:paraId="6B4A2E77" w14:textId="03E25B95" w:rsidR="00E066D7" w:rsidRDefault="00E066D7" w:rsidP="00140628">
      <w:pPr>
        <w:pStyle w:val="BodyText2"/>
        <w:spacing w:after="0" w:line="240" w:lineRule="auto"/>
        <w:ind w:left="567"/>
        <w:contextualSpacing/>
        <w:rPr>
          <w:rFonts w:cs="Arial"/>
        </w:rPr>
      </w:pPr>
      <w:r w:rsidRPr="000975BA">
        <w:rPr>
          <w:rFonts w:cs="Arial"/>
        </w:rPr>
        <w:t xml:space="preserve">The </w:t>
      </w:r>
      <w:r w:rsidR="00140628">
        <w:rPr>
          <w:rFonts w:cs="Arial"/>
        </w:rPr>
        <w:t>PSRC</w:t>
      </w:r>
      <w:r w:rsidRPr="000975BA">
        <w:rPr>
          <w:rFonts w:cs="Arial"/>
        </w:rPr>
        <w:t xml:space="preserve"> shall be supported with a secretariat function which will ensure that:</w:t>
      </w:r>
    </w:p>
    <w:p w14:paraId="17E56ED0" w14:textId="77777777" w:rsidR="00DE6854" w:rsidRPr="000975BA" w:rsidRDefault="00DE6854" w:rsidP="0028669E">
      <w:pPr>
        <w:pStyle w:val="BodyText2"/>
        <w:spacing w:after="0" w:line="240" w:lineRule="auto"/>
        <w:contextualSpacing/>
        <w:jc w:val="both"/>
        <w:rPr>
          <w:rFonts w:cs="Arial"/>
        </w:rPr>
      </w:pPr>
    </w:p>
    <w:p w14:paraId="57D8E479" w14:textId="77777777" w:rsidR="00E066D7" w:rsidRDefault="00E066D7" w:rsidP="00140628">
      <w:pPr>
        <w:pStyle w:val="BodyText2"/>
        <w:numPr>
          <w:ilvl w:val="0"/>
          <w:numId w:val="9"/>
        </w:numPr>
        <w:tabs>
          <w:tab w:val="left" w:pos="1418"/>
        </w:tabs>
        <w:spacing w:after="0" w:line="240" w:lineRule="auto"/>
        <w:ind w:left="1418"/>
        <w:contextualSpacing/>
        <w:rPr>
          <w:rFonts w:cs="Arial"/>
          <w:lang w:val="en-US"/>
        </w:rPr>
      </w:pPr>
      <w:r w:rsidRPr="004F37CF">
        <w:rPr>
          <w:rFonts w:cs="Arial"/>
          <w:lang w:val="en-US"/>
        </w:rPr>
        <w:t>The agenda and papers are prepared and distributed in accordance with the Standing Orders having been agreed by the Chair with the support of the relevant executive lead</w:t>
      </w:r>
    </w:p>
    <w:p w14:paraId="36C1D7AA" w14:textId="77777777" w:rsidR="00E066D7" w:rsidRPr="004F37CF" w:rsidRDefault="00E066D7" w:rsidP="00140628">
      <w:pPr>
        <w:pStyle w:val="BodyText2"/>
        <w:tabs>
          <w:tab w:val="left" w:pos="1418"/>
        </w:tabs>
        <w:spacing w:after="0" w:line="240" w:lineRule="auto"/>
        <w:ind w:left="1418"/>
        <w:contextualSpacing/>
        <w:rPr>
          <w:rFonts w:cs="Arial"/>
          <w:lang w:val="en-US"/>
        </w:rPr>
      </w:pPr>
    </w:p>
    <w:p w14:paraId="457B6934" w14:textId="77777777" w:rsidR="00E066D7" w:rsidRDefault="00E066D7" w:rsidP="00140628">
      <w:pPr>
        <w:pStyle w:val="BodyText2"/>
        <w:numPr>
          <w:ilvl w:val="0"/>
          <w:numId w:val="9"/>
        </w:numPr>
        <w:tabs>
          <w:tab w:val="left" w:pos="1418"/>
        </w:tabs>
        <w:spacing w:after="0" w:line="240" w:lineRule="auto"/>
        <w:ind w:left="1418"/>
        <w:contextualSpacing/>
        <w:rPr>
          <w:rFonts w:cs="Arial"/>
          <w:lang w:val="en-US"/>
        </w:rPr>
      </w:pPr>
      <w:r w:rsidRPr="004F37CF">
        <w:rPr>
          <w:rFonts w:cs="Arial"/>
          <w:lang w:val="en-US"/>
        </w:rPr>
        <w:t>Attendance of those invited to each meeting is monitored and highlighting to the Chair those that do not meet the minimum requirements</w:t>
      </w:r>
    </w:p>
    <w:p w14:paraId="2A7FBE91" w14:textId="77777777" w:rsidR="00E066D7" w:rsidRDefault="00E066D7" w:rsidP="00140628">
      <w:pPr>
        <w:pStyle w:val="ListParagraph"/>
        <w:tabs>
          <w:tab w:val="left" w:pos="1418"/>
        </w:tabs>
        <w:spacing w:after="0" w:line="240" w:lineRule="auto"/>
        <w:ind w:left="1418"/>
        <w:rPr>
          <w:rFonts w:ascii="Arial" w:hAnsi="Arial" w:cs="Arial"/>
          <w:sz w:val="24"/>
          <w:szCs w:val="24"/>
          <w:lang w:val="en-US"/>
        </w:rPr>
      </w:pPr>
    </w:p>
    <w:p w14:paraId="01BE8FE1" w14:textId="77777777" w:rsidR="00E066D7" w:rsidRDefault="00E066D7" w:rsidP="00140628">
      <w:pPr>
        <w:pStyle w:val="BodyText2"/>
        <w:numPr>
          <w:ilvl w:val="0"/>
          <w:numId w:val="9"/>
        </w:numPr>
        <w:tabs>
          <w:tab w:val="left" w:pos="1418"/>
        </w:tabs>
        <w:spacing w:after="0" w:line="240" w:lineRule="auto"/>
        <w:ind w:left="1418"/>
        <w:contextualSpacing/>
        <w:rPr>
          <w:rFonts w:cs="Arial"/>
          <w:lang w:val="en-US"/>
        </w:rPr>
      </w:pPr>
      <w:r w:rsidRPr="004F37CF">
        <w:rPr>
          <w:rFonts w:cs="Arial"/>
          <w:lang w:val="en-US"/>
        </w:rPr>
        <w:t>Good quality minutes are taken in accordance with the standing orders and agreed with the chair and that a record of matters arising, action points and issues to be carried forward are kept</w:t>
      </w:r>
    </w:p>
    <w:p w14:paraId="06A25DFE" w14:textId="77777777" w:rsidR="00E066D7" w:rsidRPr="004F37CF" w:rsidRDefault="00E066D7" w:rsidP="00140628">
      <w:pPr>
        <w:pStyle w:val="BodyText2"/>
        <w:tabs>
          <w:tab w:val="left" w:pos="1418"/>
        </w:tabs>
        <w:spacing w:after="0" w:line="240" w:lineRule="auto"/>
        <w:ind w:left="1418"/>
        <w:contextualSpacing/>
        <w:rPr>
          <w:rFonts w:cs="Arial"/>
          <w:lang w:val="en-US"/>
        </w:rPr>
      </w:pPr>
    </w:p>
    <w:p w14:paraId="1DFC960C" w14:textId="77777777" w:rsidR="00E066D7" w:rsidRDefault="00E066D7" w:rsidP="00140628">
      <w:pPr>
        <w:pStyle w:val="BodyText2"/>
        <w:numPr>
          <w:ilvl w:val="0"/>
          <w:numId w:val="9"/>
        </w:numPr>
        <w:tabs>
          <w:tab w:val="left" w:pos="1418"/>
        </w:tabs>
        <w:spacing w:after="0" w:line="240" w:lineRule="auto"/>
        <w:ind w:left="1418"/>
        <w:contextualSpacing/>
        <w:rPr>
          <w:rFonts w:cs="Arial"/>
          <w:lang w:val="en-US"/>
        </w:rPr>
      </w:pPr>
      <w:r w:rsidRPr="001C2C67">
        <w:rPr>
          <w:rFonts w:cs="Arial"/>
          <w:lang w:val="en-US"/>
        </w:rPr>
        <w:t xml:space="preserve">The Chair is supported to prepare and deliver reports to the </w:t>
      </w:r>
      <w:r w:rsidR="001C2C67" w:rsidRPr="001C2C67">
        <w:rPr>
          <w:rFonts w:cs="Arial"/>
          <w:lang w:val="en-US"/>
        </w:rPr>
        <w:t>Primary Care Strategy and Delivery Sub-</w:t>
      </w:r>
      <w:r w:rsidR="001C2C67">
        <w:rPr>
          <w:rFonts w:cs="Arial"/>
          <w:lang w:val="en-US"/>
        </w:rPr>
        <w:t>c</w:t>
      </w:r>
      <w:r w:rsidR="001C2C67" w:rsidRPr="001C2C67">
        <w:rPr>
          <w:rFonts w:cs="Arial"/>
          <w:lang w:val="en-US"/>
        </w:rPr>
        <w:t>ommittee</w:t>
      </w:r>
    </w:p>
    <w:p w14:paraId="7E14FA60" w14:textId="77777777" w:rsidR="001C2C67" w:rsidRPr="001C2C67" w:rsidRDefault="001C2C67" w:rsidP="00140628">
      <w:pPr>
        <w:pStyle w:val="BodyText2"/>
        <w:tabs>
          <w:tab w:val="left" w:pos="1418"/>
        </w:tabs>
        <w:spacing w:after="0" w:line="240" w:lineRule="auto"/>
        <w:ind w:left="1418"/>
        <w:contextualSpacing/>
        <w:rPr>
          <w:rFonts w:cs="Arial"/>
          <w:lang w:val="en-US"/>
        </w:rPr>
      </w:pPr>
    </w:p>
    <w:p w14:paraId="05D63664" w14:textId="77777777" w:rsidR="00E066D7" w:rsidRDefault="00E066D7" w:rsidP="00140628">
      <w:pPr>
        <w:pStyle w:val="BodyText2"/>
        <w:numPr>
          <w:ilvl w:val="0"/>
          <w:numId w:val="9"/>
        </w:numPr>
        <w:tabs>
          <w:tab w:val="left" w:pos="1418"/>
        </w:tabs>
        <w:spacing w:after="0" w:line="240" w:lineRule="auto"/>
        <w:ind w:left="1418"/>
        <w:contextualSpacing/>
        <w:rPr>
          <w:rFonts w:cs="Arial"/>
          <w:lang w:val="en-US"/>
        </w:rPr>
      </w:pPr>
      <w:r w:rsidRPr="004F37CF">
        <w:rPr>
          <w:rFonts w:cs="Arial"/>
          <w:lang w:val="en-US"/>
        </w:rPr>
        <w:t xml:space="preserve">The </w:t>
      </w:r>
      <w:r w:rsidR="001C2C67">
        <w:rPr>
          <w:rFonts w:cs="Arial"/>
          <w:lang w:val="en-US"/>
        </w:rPr>
        <w:t>Sub-c</w:t>
      </w:r>
      <w:r w:rsidRPr="004F37CF">
        <w:rPr>
          <w:rFonts w:cs="Arial"/>
          <w:lang w:val="en-US"/>
        </w:rPr>
        <w:t>ommittee is updated on pertinent issues/ areas of interest/ policy developments</w:t>
      </w:r>
    </w:p>
    <w:p w14:paraId="05F15FCA" w14:textId="77777777" w:rsidR="00E066D7" w:rsidRDefault="00E066D7" w:rsidP="00140628">
      <w:pPr>
        <w:pStyle w:val="ListParagraph"/>
        <w:tabs>
          <w:tab w:val="left" w:pos="1418"/>
        </w:tabs>
        <w:spacing w:after="0" w:line="240" w:lineRule="auto"/>
        <w:ind w:left="1418"/>
        <w:rPr>
          <w:rFonts w:ascii="Arial" w:hAnsi="Arial" w:cs="Arial"/>
          <w:sz w:val="24"/>
          <w:szCs w:val="24"/>
          <w:lang w:val="en-US"/>
        </w:rPr>
      </w:pPr>
    </w:p>
    <w:p w14:paraId="17F48A79" w14:textId="77777777" w:rsidR="00E066D7" w:rsidRDefault="00E066D7" w:rsidP="00140628">
      <w:pPr>
        <w:pStyle w:val="BodyText2"/>
        <w:numPr>
          <w:ilvl w:val="0"/>
          <w:numId w:val="9"/>
        </w:numPr>
        <w:tabs>
          <w:tab w:val="left" w:pos="1418"/>
        </w:tabs>
        <w:spacing w:after="0" w:line="240" w:lineRule="auto"/>
        <w:ind w:left="1418"/>
        <w:contextualSpacing/>
        <w:rPr>
          <w:rFonts w:cs="Arial"/>
          <w:lang w:val="en-US"/>
        </w:rPr>
      </w:pPr>
      <w:r w:rsidRPr="004F37CF">
        <w:rPr>
          <w:rFonts w:cs="Arial"/>
          <w:lang w:val="en-US"/>
        </w:rPr>
        <w:t>Action points are taken forward between meetings and progress against those actions is monitored.</w:t>
      </w:r>
    </w:p>
    <w:p w14:paraId="1B70FF61" w14:textId="4AB7EB6F" w:rsidR="00FE21E4" w:rsidRDefault="00FE21E4" w:rsidP="00140628">
      <w:pPr>
        <w:pStyle w:val="ListParagraph"/>
        <w:tabs>
          <w:tab w:val="left" w:pos="1418"/>
        </w:tabs>
        <w:spacing w:after="0" w:line="240" w:lineRule="auto"/>
        <w:ind w:left="1418"/>
        <w:rPr>
          <w:rFonts w:cs="Arial"/>
          <w:lang w:val="en-US"/>
        </w:rPr>
      </w:pPr>
    </w:p>
    <w:p w14:paraId="0CCFD95E" w14:textId="1CD2AF09" w:rsidR="00140628" w:rsidRDefault="00140628" w:rsidP="00140628">
      <w:pPr>
        <w:pStyle w:val="ListParagraph"/>
        <w:tabs>
          <w:tab w:val="left" w:pos="1418"/>
        </w:tabs>
        <w:spacing w:after="0" w:line="240" w:lineRule="auto"/>
        <w:ind w:left="1418"/>
        <w:rPr>
          <w:rFonts w:cs="Arial"/>
          <w:lang w:val="en-US"/>
        </w:rPr>
      </w:pPr>
    </w:p>
    <w:p w14:paraId="5991B579" w14:textId="77777777" w:rsidR="00140628" w:rsidRDefault="00140628" w:rsidP="00140628">
      <w:pPr>
        <w:pStyle w:val="ListParagraph"/>
        <w:tabs>
          <w:tab w:val="left" w:pos="1418"/>
        </w:tabs>
        <w:spacing w:after="0" w:line="240" w:lineRule="auto"/>
        <w:ind w:left="1418"/>
        <w:rPr>
          <w:rFonts w:cs="Arial"/>
          <w:lang w:val="en-US"/>
        </w:rPr>
      </w:pPr>
    </w:p>
    <w:p w14:paraId="5901E149" w14:textId="77777777" w:rsidR="00B75468" w:rsidRPr="00140628" w:rsidRDefault="00B75468" w:rsidP="00140628">
      <w:pPr>
        <w:numPr>
          <w:ilvl w:val="0"/>
          <w:numId w:val="1"/>
        </w:numPr>
        <w:spacing w:after="0" w:line="240" w:lineRule="auto"/>
        <w:ind w:left="567" w:hanging="567"/>
        <w:contextualSpacing/>
        <w:jc w:val="both"/>
        <w:rPr>
          <w:rFonts w:ascii="Arial" w:eastAsia="SimSun" w:hAnsi="Arial" w:cs="Arial"/>
          <w:b/>
          <w:bCs/>
          <w:color w:val="5B9BD5" w:themeColor="accent5"/>
          <w:sz w:val="24"/>
          <w:szCs w:val="24"/>
        </w:rPr>
      </w:pPr>
      <w:r w:rsidRPr="00140628">
        <w:rPr>
          <w:rFonts w:ascii="Arial" w:eastAsia="SimSun" w:hAnsi="Arial" w:cs="Arial"/>
          <w:b/>
          <w:bCs/>
          <w:color w:val="5B9BD5" w:themeColor="accent5"/>
          <w:sz w:val="24"/>
          <w:szCs w:val="24"/>
        </w:rPr>
        <w:t xml:space="preserve"> R</w:t>
      </w:r>
      <w:r w:rsidR="00361BF6" w:rsidRPr="00140628">
        <w:rPr>
          <w:rFonts w:ascii="Arial" w:eastAsia="SimSun" w:hAnsi="Arial" w:cs="Arial"/>
          <w:b/>
          <w:bCs/>
          <w:color w:val="5B9BD5" w:themeColor="accent5"/>
          <w:sz w:val="24"/>
          <w:szCs w:val="24"/>
        </w:rPr>
        <w:t>eview</w:t>
      </w:r>
    </w:p>
    <w:p w14:paraId="382C9E70" w14:textId="77777777" w:rsidR="00F542D4" w:rsidRPr="00B75468" w:rsidRDefault="00F542D4" w:rsidP="0028669E">
      <w:pPr>
        <w:spacing w:after="0" w:line="240" w:lineRule="auto"/>
        <w:ind w:left="360"/>
        <w:contextualSpacing/>
        <w:jc w:val="both"/>
        <w:rPr>
          <w:rFonts w:ascii="Arial" w:eastAsia="Calibri" w:hAnsi="Arial" w:cs="Arial"/>
          <w:b/>
          <w:bCs/>
          <w:sz w:val="24"/>
          <w:szCs w:val="24"/>
        </w:rPr>
      </w:pPr>
    </w:p>
    <w:p w14:paraId="22C6FE43" w14:textId="014DC718" w:rsidR="00870352" w:rsidRDefault="00870352" w:rsidP="00140628">
      <w:pPr>
        <w:autoSpaceDE w:val="0"/>
        <w:autoSpaceDN w:val="0"/>
        <w:adjustRightInd w:val="0"/>
        <w:spacing w:after="0" w:line="240" w:lineRule="auto"/>
        <w:ind w:left="567"/>
        <w:contextualSpacing/>
        <w:rPr>
          <w:rFonts w:ascii="Arial" w:hAnsi="Arial" w:cs="Arial"/>
          <w:sz w:val="24"/>
          <w:szCs w:val="24"/>
        </w:rPr>
      </w:pPr>
      <w:r w:rsidRPr="00407B8A">
        <w:rPr>
          <w:rFonts w:ascii="Arial" w:hAnsi="Arial" w:cs="Arial"/>
          <w:sz w:val="24"/>
          <w:szCs w:val="24"/>
        </w:rPr>
        <w:t xml:space="preserve">The </w:t>
      </w:r>
      <w:r w:rsidR="00140628">
        <w:rPr>
          <w:rFonts w:ascii="Arial" w:hAnsi="Arial" w:cs="Arial"/>
          <w:sz w:val="24"/>
          <w:szCs w:val="24"/>
        </w:rPr>
        <w:t>PSRC</w:t>
      </w:r>
      <w:r w:rsidRPr="00407B8A">
        <w:rPr>
          <w:rFonts w:ascii="Arial" w:hAnsi="Arial" w:cs="Arial"/>
          <w:sz w:val="24"/>
          <w:szCs w:val="24"/>
        </w:rPr>
        <w:t xml:space="preserve"> will review its effectiveness at least annually</w:t>
      </w:r>
      <w:r w:rsidR="00F55953">
        <w:rPr>
          <w:rFonts w:ascii="Arial" w:hAnsi="Arial" w:cs="Arial"/>
          <w:sz w:val="24"/>
          <w:szCs w:val="24"/>
        </w:rPr>
        <w:t xml:space="preserve"> and complete an annual report submitted to the </w:t>
      </w:r>
      <w:r w:rsidR="001C2C67" w:rsidRPr="001C2C67">
        <w:rPr>
          <w:rFonts w:ascii="Arial" w:hAnsi="Arial" w:cs="Arial"/>
          <w:sz w:val="24"/>
          <w:szCs w:val="24"/>
        </w:rPr>
        <w:t>Primary Care Strategy and Delivery Sub</w:t>
      </w:r>
      <w:r w:rsidR="001C2C67">
        <w:rPr>
          <w:rFonts w:ascii="Arial" w:hAnsi="Arial" w:cs="Arial"/>
          <w:sz w:val="24"/>
          <w:szCs w:val="24"/>
        </w:rPr>
        <w:t>c</w:t>
      </w:r>
      <w:r w:rsidR="001C2C67" w:rsidRPr="001C2C67">
        <w:rPr>
          <w:rFonts w:ascii="Arial" w:hAnsi="Arial" w:cs="Arial"/>
          <w:sz w:val="24"/>
          <w:szCs w:val="24"/>
        </w:rPr>
        <w:t>ommittee</w:t>
      </w:r>
      <w:r w:rsidR="00140628">
        <w:rPr>
          <w:rFonts w:ascii="Arial" w:hAnsi="Arial" w:cs="Arial"/>
          <w:sz w:val="24"/>
          <w:szCs w:val="24"/>
        </w:rPr>
        <w:t xml:space="preserve"> and Executive Committee.</w:t>
      </w:r>
    </w:p>
    <w:p w14:paraId="4715266F" w14:textId="77777777" w:rsidR="00DE6854" w:rsidRPr="00407B8A" w:rsidRDefault="00DE6854" w:rsidP="00140628">
      <w:pPr>
        <w:autoSpaceDE w:val="0"/>
        <w:autoSpaceDN w:val="0"/>
        <w:adjustRightInd w:val="0"/>
        <w:spacing w:after="0" w:line="240" w:lineRule="auto"/>
        <w:ind w:left="567"/>
        <w:contextualSpacing/>
        <w:rPr>
          <w:rFonts w:ascii="Arial" w:hAnsi="Arial" w:cs="Arial"/>
          <w:sz w:val="24"/>
          <w:szCs w:val="24"/>
        </w:rPr>
      </w:pPr>
    </w:p>
    <w:p w14:paraId="11703EDA" w14:textId="589C7371" w:rsidR="00870352" w:rsidRDefault="00870352" w:rsidP="00140628">
      <w:pPr>
        <w:autoSpaceDE w:val="0"/>
        <w:autoSpaceDN w:val="0"/>
        <w:adjustRightInd w:val="0"/>
        <w:spacing w:after="0" w:line="240" w:lineRule="auto"/>
        <w:ind w:left="567"/>
        <w:contextualSpacing/>
        <w:rPr>
          <w:rFonts w:ascii="Arial" w:hAnsi="Arial" w:cs="Arial"/>
          <w:sz w:val="24"/>
          <w:szCs w:val="24"/>
        </w:rPr>
      </w:pPr>
      <w:r w:rsidRPr="00407B8A">
        <w:rPr>
          <w:rFonts w:ascii="Arial" w:hAnsi="Arial" w:cs="Arial"/>
          <w:sz w:val="24"/>
          <w:szCs w:val="24"/>
        </w:rPr>
        <w:t xml:space="preserve">These terms of reference will be reviewed at least annually and more frequently if </w:t>
      </w:r>
      <w:r w:rsidRPr="002E30B3">
        <w:rPr>
          <w:rFonts w:ascii="Arial" w:hAnsi="Arial" w:cs="Arial"/>
          <w:sz w:val="24"/>
          <w:szCs w:val="24"/>
        </w:rPr>
        <w:t xml:space="preserve">required.  Any proposed amendments to the terms of reference will be submitted to the </w:t>
      </w:r>
      <w:r w:rsidR="00140628">
        <w:rPr>
          <w:rFonts w:ascii="Arial" w:hAnsi="Arial" w:cs="Arial"/>
          <w:sz w:val="24"/>
          <w:szCs w:val="24"/>
        </w:rPr>
        <w:t xml:space="preserve">Executive Committee and, if required, the </w:t>
      </w:r>
      <w:r w:rsidRPr="002E30B3">
        <w:rPr>
          <w:rFonts w:ascii="Arial" w:hAnsi="Arial" w:cs="Arial"/>
          <w:sz w:val="24"/>
          <w:szCs w:val="24"/>
        </w:rPr>
        <w:t>Board for approval.</w:t>
      </w:r>
    </w:p>
    <w:p w14:paraId="1A27F276" w14:textId="77777777" w:rsidR="00DE6854" w:rsidRPr="002E30B3" w:rsidRDefault="00DE6854" w:rsidP="00140628">
      <w:pPr>
        <w:autoSpaceDE w:val="0"/>
        <w:autoSpaceDN w:val="0"/>
        <w:adjustRightInd w:val="0"/>
        <w:spacing w:after="0" w:line="240" w:lineRule="auto"/>
        <w:ind w:left="567"/>
        <w:contextualSpacing/>
        <w:rPr>
          <w:rFonts w:ascii="Arial" w:hAnsi="Arial" w:cs="Arial"/>
          <w:sz w:val="24"/>
          <w:szCs w:val="24"/>
        </w:rPr>
      </w:pPr>
    </w:p>
    <w:p w14:paraId="098D545D" w14:textId="3E6913E9" w:rsidR="00F55953" w:rsidRPr="002E30B3" w:rsidRDefault="00F55953" w:rsidP="00140628">
      <w:pPr>
        <w:autoSpaceDE w:val="0"/>
        <w:autoSpaceDN w:val="0"/>
        <w:adjustRightInd w:val="0"/>
        <w:spacing w:after="0" w:line="240" w:lineRule="auto"/>
        <w:ind w:left="567"/>
        <w:contextualSpacing/>
        <w:rPr>
          <w:rFonts w:ascii="Arial" w:hAnsi="Arial" w:cs="Arial"/>
          <w:sz w:val="24"/>
          <w:szCs w:val="24"/>
        </w:rPr>
      </w:pPr>
      <w:r w:rsidRPr="002E30B3">
        <w:rPr>
          <w:rFonts w:ascii="Arial" w:hAnsi="Arial" w:cs="Arial"/>
          <w:sz w:val="24"/>
          <w:szCs w:val="24"/>
        </w:rPr>
        <w:t xml:space="preserve">The </w:t>
      </w:r>
      <w:r w:rsidR="00140628">
        <w:rPr>
          <w:rFonts w:ascii="Arial" w:hAnsi="Arial" w:cs="Arial"/>
          <w:sz w:val="24"/>
          <w:szCs w:val="24"/>
        </w:rPr>
        <w:t>PSRC</w:t>
      </w:r>
      <w:r w:rsidRPr="002E30B3">
        <w:rPr>
          <w:rFonts w:ascii="Arial" w:hAnsi="Arial" w:cs="Arial"/>
          <w:sz w:val="24"/>
          <w:szCs w:val="24"/>
        </w:rPr>
        <w:t xml:space="preserve"> will utilise a continuous improvement approach in its delegation and all members will be encouraged to review the effectiveness of the meeting at each sitting.</w:t>
      </w:r>
    </w:p>
    <w:p w14:paraId="0DEA2FCE" w14:textId="733319C7" w:rsidR="00361BF6" w:rsidRDefault="00361BF6" w:rsidP="00140628">
      <w:pPr>
        <w:pStyle w:val="BodyText2"/>
        <w:spacing w:after="0" w:line="240" w:lineRule="auto"/>
        <w:ind w:left="567"/>
        <w:contextualSpacing/>
        <w:rPr>
          <w:rFonts w:cs="Arial"/>
        </w:rPr>
      </w:pPr>
    </w:p>
    <w:p w14:paraId="0A70CEEC" w14:textId="24BEEF4E" w:rsidR="00140628" w:rsidRDefault="00140628" w:rsidP="00140628">
      <w:pPr>
        <w:pStyle w:val="BodyText2"/>
        <w:spacing w:after="0" w:line="240" w:lineRule="auto"/>
        <w:ind w:left="567"/>
        <w:contextualSpacing/>
        <w:rPr>
          <w:rFonts w:cs="Arial"/>
        </w:rPr>
      </w:pPr>
    </w:p>
    <w:p w14:paraId="4BEF4652" w14:textId="3569A077" w:rsidR="00140628" w:rsidRDefault="00140628" w:rsidP="00140628">
      <w:pPr>
        <w:pStyle w:val="BodyText2"/>
        <w:spacing w:after="0" w:line="240" w:lineRule="auto"/>
        <w:ind w:left="567"/>
        <w:contextualSpacing/>
        <w:rPr>
          <w:rFonts w:cs="Arial"/>
        </w:rPr>
      </w:pPr>
    </w:p>
    <w:p w14:paraId="303DC58E" w14:textId="77777777" w:rsidR="00140628" w:rsidRDefault="00140628" w:rsidP="00140628">
      <w:pPr>
        <w:pStyle w:val="BodyText2"/>
        <w:spacing w:after="0" w:line="240" w:lineRule="auto"/>
        <w:ind w:left="567"/>
        <w:contextualSpacing/>
        <w:rPr>
          <w:rFonts w:cs="Arial"/>
        </w:rPr>
      </w:pPr>
    </w:p>
    <w:p w14:paraId="6C38B844" w14:textId="06E919C1" w:rsidR="00361BF6" w:rsidRPr="00140628" w:rsidRDefault="00361BF6" w:rsidP="0028669E">
      <w:pPr>
        <w:pStyle w:val="BodyText2"/>
        <w:spacing w:after="0" w:line="240" w:lineRule="auto"/>
        <w:contextualSpacing/>
        <w:jc w:val="both"/>
        <w:rPr>
          <w:rFonts w:cs="Arial"/>
          <w:b/>
          <w:bCs/>
        </w:rPr>
      </w:pPr>
      <w:r w:rsidRPr="00140628">
        <w:rPr>
          <w:rFonts w:cs="Arial"/>
          <w:b/>
          <w:bCs/>
        </w:rPr>
        <w:t xml:space="preserve">Version: </w:t>
      </w:r>
      <w:r w:rsidR="00C51364" w:rsidRPr="00140628">
        <w:rPr>
          <w:rFonts w:cs="Arial"/>
          <w:b/>
          <w:bCs/>
        </w:rPr>
        <w:t>1-0</w:t>
      </w:r>
      <w:r w:rsidR="00684702" w:rsidRPr="00140628">
        <w:rPr>
          <w:rFonts w:cs="Arial"/>
          <w:b/>
          <w:bCs/>
        </w:rPr>
        <w:t xml:space="preserve"> </w:t>
      </w:r>
    </w:p>
    <w:p w14:paraId="5701FF04" w14:textId="23DCC45D" w:rsidR="00361BF6" w:rsidRPr="000D763E" w:rsidRDefault="00361BF6" w:rsidP="0028669E">
      <w:pPr>
        <w:pStyle w:val="BodyText2"/>
        <w:spacing w:after="0" w:line="240" w:lineRule="auto"/>
        <w:contextualSpacing/>
        <w:jc w:val="both"/>
        <w:rPr>
          <w:rFonts w:cs="Arial"/>
        </w:rPr>
      </w:pPr>
      <w:r w:rsidRPr="000D763E">
        <w:rPr>
          <w:rFonts w:cs="Arial"/>
        </w:rPr>
        <w:t>Date of approval:</w:t>
      </w:r>
      <w:r w:rsidR="00C51364">
        <w:rPr>
          <w:rFonts w:cs="Arial"/>
        </w:rPr>
        <w:t xml:space="preserve"> Board 28 March 2023 </w:t>
      </w:r>
    </w:p>
    <w:p w14:paraId="02A10F1A" w14:textId="77777777" w:rsidR="00407B8A" w:rsidRDefault="00361BF6" w:rsidP="0028669E">
      <w:pPr>
        <w:pStyle w:val="BodyText2"/>
        <w:spacing w:after="0" w:line="240" w:lineRule="auto"/>
        <w:contextualSpacing/>
        <w:jc w:val="both"/>
        <w:rPr>
          <w:rFonts w:cs="Arial"/>
        </w:rPr>
      </w:pPr>
      <w:r w:rsidRPr="000D763E">
        <w:rPr>
          <w:rFonts w:cs="Arial"/>
        </w:rPr>
        <w:t>Date of review:</w:t>
      </w:r>
    </w:p>
    <w:p w14:paraId="77CD1955" w14:textId="77777777" w:rsidR="00194FF1" w:rsidRDefault="00194FF1" w:rsidP="0028669E">
      <w:pPr>
        <w:pStyle w:val="BodyText2"/>
        <w:spacing w:after="0" w:line="240" w:lineRule="auto"/>
        <w:contextualSpacing/>
        <w:jc w:val="both"/>
        <w:rPr>
          <w:rFonts w:cs="Arial"/>
        </w:rPr>
      </w:pPr>
    </w:p>
    <w:p w14:paraId="1251B743" w14:textId="77777777" w:rsidR="00194FF1" w:rsidRDefault="00194FF1">
      <w:pPr>
        <w:rPr>
          <w:rFonts w:ascii="Arial" w:hAnsi="Arial" w:cs="Arial"/>
          <w:color w:val="231F20"/>
          <w:sz w:val="24"/>
          <w:szCs w:val="24"/>
        </w:rPr>
      </w:pPr>
      <w:r>
        <w:rPr>
          <w:rFonts w:cs="Arial"/>
        </w:rPr>
        <w:br w:type="page"/>
      </w:r>
    </w:p>
    <w:tbl>
      <w:tblPr>
        <w:tblW w:w="8100" w:type="dxa"/>
        <w:tblInd w:w="972"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Layout w:type="fixed"/>
        <w:tblCellMar>
          <w:left w:w="0" w:type="dxa"/>
          <w:right w:w="0" w:type="dxa"/>
        </w:tblCellMar>
        <w:tblLook w:val="01E0" w:firstRow="1" w:lastRow="1" w:firstColumn="1" w:lastColumn="1" w:noHBand="0" w:noVBand="0"/>
      </w:tblPr>
      <w:tblGrid>
        <w:gridCol w:w="21"/>
        <w:gridCol w:w="6095"/>
        <w:gridCol w:w="1984"/>
      </w:tblGrid>
      <w:tr w:rsidR="00194FF1" w:rsidRPr="00483085" w14:paraId="62EE91DA" w14:textId="77777777" w:rsidTr="001759E7">
        <w:trPr>
          <w:trHeight w:val="551"/>
        </w:trPr>
        <w:tc>
          <w:tcPr>
            <w:tcW w:w="6116" w:type="dxa"/>
            <w:gridSpan w:val="2"/>
            <w:tcBorders>
              <w:top w:val="nil"/>
              <w:left w:val="nil"/>
              <w:bottom w:val="nil"/>
              <w:right w:val="nil"/>
            </w:tcBorders>
            <w:shd w:val="clear" w:color="auto" w:fill="1C6CB4"/>
          </w:tcPr>
          <w:p w14:paraId="63F0469A" w14:textId="77777777" w:rsidR="00194FF1" w:rsidRPr="00483085" w:rsidRDefault="00194FF1" w:rsidP="00027EEC">
            <w:pPr>
              <w:widowControl w:val="0"/>
              <w:autoSpaceDE w:val="0"/>
              <w:autoSpaceDN w:val="0"/>
              <w:spacing w:after="0" w:line="240" w:lineRule="auto"/>
              <w:ind w:left="196"/>
              <w:rPr>
                <w:rFonts w:ascii="Arial" w:eastAsia="Arial" w:hAnsi="Arial" w:cs="Arial"/>
                <w:b/>
                <w:sz w:val="24"/>
                <w:lang w:eastAsia="en-GB" w:bidi="en-GB"/>
              </w:rPr>
            </w:pPr>
            <w:r w:rsidRPr="00483085">
              <w:rPr>
                <w:rFonts w:ascii="Arial" w:eastAsia="Arial" w:hAnsi="Arial" w:cs="Arial"/>
                <w:b/>
                <w:color w:val="FFFFFF"/>
                <w:sz w:val="24"/>
                <w:lang w:eastAsia="en-GB" w:bidi="en-GB"/>
              </w:rPr>
              <w:lastRenderedPageBreak/>
              <w:t>Regulatory provision</w:t>
            </w:r>
          </w:p>
        </w:tc>
        <w:tc>
          <w:tcPr>
            <w:tcW w:w="1984" w:type="dxa"/>
            <w:tcBorders>
              <w:top w:val="nil"/>
              <w:left w:val="nil"/>
              <w:bottom w:val="nil"/>
              <w:right w:val="nil"/>
            </w:tcBorders>
            <w:shd w:val="clear" w:color="auto" w:fill="1C6CB4"/>
          </w:tcPr>
          <w:p w14:paraId="13D163CE" w14:textId="77777777" w:rsidR="00194FF1" w:rsidRPr="00483085" w:rsidRDefault="00194FF1" w:rsidP="00027EEC">
            <w:pPr>
              <w:widowControl w:val="0"/>
              <w:autoSpaceDE w:val="0"/>
              <w:autoSpaceDN w:val="0"/>
              <w:spacing w:after="0" w:line="270" w:lineRule="atLeast"/>
              <w:ind w:left="157" w:right="304"/>
              <w:rPr>
                <w:rFonts w:ascii="Arial" w:eastAsia="Arial" w:hAnsi="Arial" w:cs="Arial"/>
                <w:b/>
                <w:sz w:val="24"/>
                <w:lang w:eastAsia="en-GB" w:bidi="en-GB"/>
              </w:rPr>
            </w:pPr>
            <w:r w:rsidRPr="00483085">
              <w:rPr>
                <w:rFonts w:ascii="Arial" w:eastAsia="Arial" w:hAnsi="Arial" w:cs="Arial"/>
                <w:b/>
                <w:color w:val="FFFFFF"/>
                <w:sz w:val="24"/>
                <w:lang w:eastAsia="en-GB" w:bidi="en-GB"/>
              </w:rPr>
              <w:t>Decision- maker</w:t>
            </w:r>
          </w:p>
        </w:tc>
      </w:tr>
      <w:tr w:rsidR="00194FF1" w:rsidRPr="00483085" w14:paraId="0508215B" w14:textId="77777777" w:rsidTr="001759E7">
        <w:trPr>
          <w:trHeight w:val="568"/>
        </w:trPr>
        <w:tc>
          <w:tcPr>
            <w:tcW w:w="6116" w:type="dxa"/>
            <w:gridSpan w:val="2"/>
            <w:tcBorders>
              <w:top w:val="nil"/>
            </w:tcBorders>
          </w:tcPr>
          <w:p w14:paraId="755E44FD" w14:textId="3794EF50" w:rsidR="00194FF1" w:rsidRPr="00483085" w:rsidRDefault="00194FF1" w:rsidP="00027EEC">
            <w:pPr>
              <w:widowControl w:val="0"/>
              <w:autoSpaceDE w:val="0"/>
              <w:autoSpaceDN w:val="0"/>
              <w:spacing w:after="0" w:line="270" w:lineRule="atLeast"/>
              <w:ind w:left="196" w:right="1049"/>
              <w:rPr>
                <w:rFonts w:ascii="Arial" w:eastAsia="Arial" w:hAnsi="Arial" w:cs="Arial"/>
                <w:sz w:val="24"/>
                <w:lang w:eastAsia="en-GB" w:bidi="en-GB"/>
              </w:rPr>
            </w:pPr>
            <w:r w:rsidRPr="00483085">
              <w:rPr>
                <w:rFonts w:ascii="Arial" w:eastAsia="Arial" w:hAnsi="Arial" w:cs="Arial"/>
                <w:color w:val="221F1F"/>
                <w:sz w:val="24"/>
                <w:lang w:eastAsia="en-GB" w:bidi="en-GB"/>
              </w:rPr>
              <w:t>Regulations 13, 14 and 21A – determination of application</w:t>
            </w:r>
            <w:r w:rsidR="001759E7">
              <w:rPr>
                <w:rFonts w:ascii="Arial" w:eastAsia="Arial" w:hAnsi="Arial" w:cs="Arial"/>
                <w:color w:val="221F1F"/>
                <w:sz w:val="24"/>
                <w:lang w:eastAsia="en-GB" w:bidi="en-GB"/>
              </w:rPr>
              <w:t xml:space="preserve"> </w:t>
            </w:r>
            <w:r w:rsidRPr="00483085">
              <w:rPr>
                <w:rFonts w:ascii="Arial" w:eastAsia="Arial" w:hAnsi="Arial" w:cs="Arial"/>
                <w:color w:val="221F1F"/>
                <w:sz w:val="24"/>
                <w:lang w:eastAsia="en-GB" w:bidi="en-GB"/>
              </w:rPr>
              <w:t>(current need)</w:t>
            </w:r>
          </w:p>
        </w:tc>
        <w:tc>
          <w:tcPr>
            <w:tcW w:w="1984" w:type="dxa"/>
            <w:tcBorders>
              <w:top w:val="nil"/>
            </w:tcBorders>
          </w:tcPr>
          <w:p w14:paraId="3C899439" w14:textId="78C10CF2" w:rsidR="00194FF1" w:rsidRPr="00483085" w:rsidRDefault="00C51364" w:rsidP="00027EEC">
            <w:pPr>
              <w:widowControl w:val="0"/>
              <w:autoSpaceDE w:val="0"/>
              <w:autoSpaceDN w:val="0"/>
              <w:spacing w:after="0" w:line="240" w:lineRule="auto"/>
              <w:ind w:left="157"/>
              <w:rPr>
                <w:rFonts w:ascii="Arial" w:eastAsia="Arial" w:hAnsi="Arial" w:cs="Arial"/>
                <w:sz w:val="24"/>
                <w:lang w:eastAsia="en-GB" w:bidi="en-GB"/>
              </w:rPr>
            </w:pPr>
            <w:r>
              <w:rPr>
                <w:rFonts w:ascii="Arial" w:eastAsia="Arial" w:hAnsi="Arial" w:cs="Arial"/>
                <w:color w:val="221F1F"/>
                <w:sz w:val="24"/>
                <w:lang w:eastAsia="en-GB" w:bidi="en-GB"/>
              </w:rPr>
              <w:t>Sub</w:t>
            </w:r>
            <w:r w:rsidR="001759E7">
              <w:rPr>
                <w:rFonts w:ascii="Arial" w:eastAsia="Arial" w:hAnsi="Arial" w:cs="Arial"/>
                <w:color w:val="221F1F"/>
                <w:sz w:val="24"/>
                <w:lang w:eastAsia="en-GB" w:bidi="en-GB"/>
              </w:rPr>
              <w:t>c</w:t>
            </w:r>
            <w:r w:rsidR="00194FF1" w:rsidRPr="00483085">
              <w:rPr>
                <w:rFonts w:ascii="Arial" w:eastAsia="Arial" w:hAnsi="Arial" w:cs="Arial"/>
                <w:color w:val="221F1F"/>
                <w:sz w:val="24"/>
                <w:lang w:eastAsia="en-GB" w:bidi="en-GB"/>
              </w:rPr>
              <w:t>ommittee</w:t>
            </w:r>
          </w:p>
        </w:tc>
      </w:tr>
      <w:tr w:rsidR="00194FF1" w:rsidRPr="00483085" w14:paraId="0DC952DF" w14:textId="77777777" w:rsidTr="001759E7">
        <w:trPr>
          <w:trHeight w:val="554"/>
        </w:trPr>
        <w:tc>
          <w:tcPr>
            <w:tcW w:w="6116" w:type="dxa"/>
            <w:gridSpan w:val="2"/>
          </w:tcPr>
          <w:p w14:paraId="23F460F3" w14:textId="77777777" w:rsidR="00194FF1" w:rsidRPr="00483085" w:rsidRDefault="00194FF1" w:rsidP="00027EEC">
            <w:pPr>
              <w:widowControl w:val="0"/>
              <w:autoSpaceDE w:val="0"/>
              <w:autoSpaceDN w:val="0"/>
              <w:spacing w:before="1" w:after="0" w:line="270" w:lineRule="atLeast"/>
              <w:ind w:left="196" w:right="1049"/>
              <w:rPr>
                <w:rFonts w:ascii="Arial" w:eastAsia="Arial" w:hAnsi="Arial" w:cs="Arial"/>
                <w:sz w:val="24"/>
                <w:lang w:eastAsia="en-GB" w:bidi="en-GB"/>
              </w:rPr>
            </w:pPr>
            <w:r w:rsidRPr="00483085">
              <w:rPr>
                <w:rFonts w:ascii="Arial" w:eastAsia="Arial" w:hAnsi="Arial" w:cs="Arial"/>
                <w:color w:val="221F1F"/>
                <w:sz w:val="24"/>
                <w:lang w:eastAsia="en-GB" w:bidi="en-GB"/>
              </w:rPr>
              <w:t>Regulations 15, 16 and 21A – determination of application (future need)</w:t>
            </w:r>
          </w:p>
        </w:tc>
        <w:tc>
          <w:tcPr>
            <w:tcW w:w="1984" w:type="dxa"/>
          </w:tcPr>
          <w:p w14:paraId="7138094A" w14:textId="0AF8DD02" w:rsidR="00194FF1" w:rsidRPr="00483085" w:rsidRDefault="00C51364" w:rsidP="00027EEC">
            <w:pPr>
              <w:widowControl w:val="0"/>
              <w:autoSpaceDE w:val="0"/>
              <w:autoSpaceDN w:val="0"/>
              <w:spacing w:before="1" w:after="0" w:line="240" w:lineRule="auto"/>
              <w:ind w:left="157"/>
              <w:rPr>
                <w:rFonts w:ascii="Arial" w:eastAsia="Arial" w:hAnsi="Arial" w:cs="Arial"/>
                <w:sz w:val="24"/>
                <w:lang w:eastAsia="en-GB" w:bidi="en-GB"/>
              </w:rPr>
            </w:pPr>
            <w:r>
              <w:rPr>
                <w:rFonts w:ascii="Arial" w:eastAsia="Arial" w:hAnsi="Arial" w:cs="Arial"/>
                <w:color w:val="221F1F"/>
                <w:sz w:val="24"/>
                <w:lang w:eastAsia="en-GB" w:bidi="en-GB"/>
              </w:rPr>
              <w:t>Sub</w:t>
            </w:r>
            <w:r w:rsidR="001759E7">
              <w:rPr>
                <w:rFonts w:ascii="Arial" w:eastAsia="Arial" w:hAnsi="Arial" w:cs="Arial"/>
                <w:color w:val="221F1F"/>
                <w:sz w:val="24"/>
                <w:lang w:eastAsia="en-GB" w:bidi="en-GB"/>
              </w:rPr>
              <w:t>c</w:t>
            </w:r>
            <w:r w:rsidR="00194FF1" w:rsidRPr="00483085">
              <w:rPr>
                <w:rFonts w:ascii="Arial" w:eastAsia="Arial" w:hAnsi="Arial" w:cs="Arial"/>
                <w:color w:val="221F1F"/>
                <w:sz w:val="24"/>
                <w:lang w:eastAsia="en-GB" w:bidi="en-GB"/>
              </w:rPr>
              <w:t>ommittee</w:t>
            </w:r>
          </w:p>
        </w:tc>
      </w:tr>
      <w:tr w:rsidR="00194FF1" w:rsidRPr="00483085" w14:paraId="4384AF3D" w14:textId="77777777" w:rsidTr="001759E7">
        <w:trPr>
          <w:trHeight w:val="551"/>
        </w:trPr>
        <w:tc>
          <w:tcPr>
            <w:tcW w:w="6116" w:type="dxa"/>
            <w:gridSpan w:val="2"/>
          </w:tcPr>
          <w:p w14:paraId="7F7CF991" w14:textId="77777777" w:rsidR="00194FF1" w:rsidRPr="00483085" w:rsidRDefault="00194FF1" w:rsidP="00027EEC">
            <w:pPr>
              <w:widowControl w:val="0"/>
              <w:autoSpaceDE w:val="0"/>
              <w:autoSpaceDN w:val="0"/>
              <w:spacing w:after="0" w:line="270" w:lineRule="atLeast"/>
              <w:ind w:left="196" w:right="931"/>
              <w:rPr>
                <w:rFonts w:ascii="Arial" w:eastAsia="Arial" w:hAnsi="Arial" w:cs="Arial"/>
                <w:sz w:val="24"/>
                <w:lang w:eastAsia="en-GB" w:bidi="en-GB"/>
              </w:rPr>
            </w:pPr>
            <w:r w:rsidRPr="00483085">
              <w:rPr>
                <w:rFonts w:ascii="Arial" w:eastAsia="Arial" w:hAnsi="Arial" w:cs="Arial"/>
                <w:color w:val="221F1F"/>
                <w:sz w:val="24"/>
                <w:lang w:eastAsia="en-GB" w:bidi="en-GB"/>
              </w:rPr>
              <w:t>Regulations 17, 19 and 21A – determination of application (current improvement/better access)</w:t>
            </w:r>
          </w:p>
        </w:tc>
        <w:tc>
          <w:tcPr>
            <w:tcW w:w="1984" w:type="dxa"/>
          </w:tcPr>
          <w:p w14:paraId="787F3798" w14:textId="6C348B44" w:rsidR="00194FF1" w:rsidRPr="00483085" w:rsidRDefault="00C51364" w:rsidP="00027EEC">
            <w:pPr>
              <w:widowControl w:val="0"/>
              <w:autoSpaceDE w:val="0"/>
              <w:autoSpaceDN w:val="0"/>
              <w:spacing w:after="0" w:line="240" w:lineRule="auto"/>
              <w:ind w:left="157"/>
              <w:rPr>
                <w:rFonts w:ascii="Arial" w:eastAsia="Arial" w:hAnsi="Arial" w:cs="Arial"/>
                <w:sz w:val="24"/>
                <w:lang w:eastAsia="en-GB" w:bidi="en-GB"/>
              </w:rPr>
            </w:pPr>
            <w:r>
              <w:rPr>
                <w:rFonts w:ascii="Arial" w:eastAsia="Arial" w:hAnsi="Arial" w:cs="Arial"/>
                <w:color w:val="221F1F"/>
                <w:sz w:val="24"/>
                <w:lang w:eastAsia="en-GB" w:bidi="en-GB"/>
              </w:rPr>
              <w:t>Sub</w:t>
            </w:r>
            <w:r w:rsidR="001759E7">
              <w:rPr>
                <w:rFonts w:ascii="Arial" w:eastAsia="Arial" w:hAnsi="Arial" w:cs="Arial"/>
                <w:color w:val="221F1F"/>
                <w:sz w:val="24"/>
                <w:lang w:eastAsia="en-GB" w:bidi="en-GB"/>
              </w:rPr>
              <w:t>c</w:t>
            </w:r>
            <w:r w:rsidR="00194FF1" w:rsidRPr="00483085">
              <w:rPr>
                <w:rFonts w:ascii="Arial" w:eastAsia="Arial" w:hAnsi="Arial" w:cs="Arial"/>
                <w:color w:val="221F1F"/>
                <w:sz w:val="24"/>
                <w:lang w:eastAsia="en-GB" w:bidi="en-GB"/>
              </w:rPr>
              <w:t>ommittee</w:t>
            </w:r>
          </w:p>
        </w:tc>
      </w:tr>
      <w:tr w:rsidR="00194FF1" w:rsidRPr="00483085" w14:paraId="50A39DB1" w14:textId="77777777" w:rsidTr="001759E7">
        <w:trPr>
          <w:trHeight w:val="551"/>
        </w:trPr>
        <w:tc>
          <w:tcPr>
            <w:tcW w:w="6116" w:type="dxa"/>
            <w:gridSpan w:val="2"/>
          </w:tcPr>
          <w:p w14:paraId="54439C16" w14:textId="77777777" w:rsidR="00194FF1" w:rsidRPr="00483085" w:rsidRDefault="00194FF1" w:rsidP="00027EEC">
            <w:pPr>
              <w:widowControl w:val="0"/>
              <w:autoSpaceDE w:val="0"/>
              <w:autoSpaceDN w:val="0"/>
              <w:spacing w:after="0" w:line="270" w:lineRule="atLeast"/>
              <w:ind w:left="196" w:right="396"/>
              <w:rPr>
                <w:rFonts w:ascii="Arial" w:eastAsia="Arial" w:hAnsi="Arial" w:cs="Arial"/>
                <w:sz w:val="24"/>
                <w:lang w:eastAsia="en-GB" w:bidi="en-GB"/>
              </w:rPr>
            </w:pPr>
            <w:r w:rsidRPr="00483085">
              <w:rPr>
                <w:rFonts w:ascii="Arial" w:eastAsia="Arial" w:hAnsi="Arial" w:cs="Arial"/>
                <w:color w:val="221F1F"/>
                <w:sz w:val="24"/>
                <w:lang w:eastAsia="en-GB" w:bidi="en-GB"/>
              </w:rPr>
              <w:t>Regulations 18 and 19 – determination of application (unforeseen benefits)</w:t>
            </w:r>
          </w:p>
        </w:tc>
        <w:tc>
          <w:tcPr>
            <w:tcW w:w="1984" w:type="dxa"/>
          </w:tcPr>
          <w:p w14:paraId="40C7EB88" w14:textId="1DEAAFC9" w:rsidR="00194FF1" w:rsidRPr="00483085" w:rsidRDefault="00C51364" w:rsidP="00027EEC">
            <w:pPr>
              <w:widowControl w:val="0"/>
              <w:autoSpaceDE w:val="0"/>
              <w:autoSpaceDN w:val="0"/>
              <w:spacing w:after="0" w:line="240" w:lineRule="auto"/>
              <w:ind w:left="157"/>
              <w:rPr>
                <w:rFonts w:ascii="Arial" w:eastAsia="Arial" w:hAnsi="Arial" w:cs="Arial"/>
                <w:sz w:val="24"/>
                <w:lang w:eastAsia="en-GB" w:bidi="en-GB"/>
              </w:rPr>
            </w:pPr>
            <w:r>
              <w:rPr>
                <w:rFonts w:ascii="Arial" w:eastAsia="Arial" w:hAnsi="Arial" w:cs="Arial"/>
                <w:color w:val="221F1F"/>
                <w:sz w:val="24"/>
                <w:lang w:eastAsia="en-GB" w:bidi="en-GB"/>
              </w:rPr>
              <w:t>Sub</w:t>
            </w:r>
            <w:r w:rsidR="001759E7">
              <w:rPr>
                <w:rFonts w:ascii="Arial" w:eastAsia="Arial" w:hAnsi="Arial" w:cs="Arial"/>
                <w:color w:val="221F1F"/>
                <w:sz w:val="24"/>
                <w:lang w:eastAsia="en-GB" w:bidi="en-GB"/>
              </w:rPr>
              <w:t>c</w:t>
            </w:r>
            <w:r w:rsidR="00194FF1" w:rsidRPr="00483085">
              <w:rPr>
                <w:rFonts w:ascii="Arial" w:eastAsia="Arial" w:hAnsi="Arial" w:cs="Arial"/>
                <w:color w:val="221F1F"/>
                <w:sz w:val="24"/>
                <w:lang w:eastAsia="en-GB" w:bidi="en-GB"/>
              </w:rPr>
              <w:t>ommittee</w:t>
            </w:r>
          </w:p>
        </w:tc>
      </w:tr>
      <w:tr w:rsidR="00194FF1" w:rsidRPr="00483085" w14:paraId="6783E028" w14:textId="77777777" w:rsidTr="001759E7">
        <w:trPr>
          <w:trHeight w:val="550"/>
        </w:trPr>
        <w:tc>
          <w:tcPr>
            <w:tcW w:w="6116" w:type="dxa"/>
            <w:gridSpan w:val="2"/>
          </w:tcPr>
          <w:p w14:paraId="2FE56E9C" w14:textId="77777777" w:rsidR="00194FF1" w:rsidRPr="00483085" w:rsidRDefault="00194FF1" w:rsidP="00027EEC">
            <w:pPr>
              <w:widowControl w:val="0"/>
              <w:autoSpaceDE w:val="0"/>
              <w:autoSpaceDN w:val="0"/>
              <w:spacing w:before="6" w:after="0" w:line="274" w:lineRule="exact"/>
              <w:ind w:left="196" w:right="1049"/>
              <w:rPr>
                <w:rFonts w:ascii="Arial" w:eastAsia="Arial" w:hAnsi="Arial" w:cs="Arial"/>
                <w:sz w:val="24"/>
                <w:lang w:eastAsia="en-GB" w:bidi="en-GB"/>
              </w:rPr>
            </w:pPr>
            <w:r w:rsidRPr="00483085">
              <w:rPr>
                <w:rFonts w:ascii="Arial" w:eastAsia="Arial" w:hAnsi="Arial" w:cs="Arial"/>
                <w:color w:val="221F1F"/>
                <w:sz w:val="24"/>
                <w:lang w:eastAsia="en-GB" w:bidi="en-GB"/>
              </w:rPr>
              <w:t>Regulations 20, 21 and 21A – determination of application (future improvement/better access)</w:t>
            </w:r>
          </w:p>
        </w:tc>
        <w:tc>
          <w:tcPr>
            <w:tcW w:w="1984" w:type="dxa"/>
          </w:tcPr>
          <w:p w14:paraId="0FD13250" w14:textId="510E4365" w:rsidR="00194FF1" w:rsidRPr="00483085" w:rsidRDefault="001759E7" w:rsidP="00027EEC">
            <w:pPr>
              <w:widowControl w:val="0"/>
              <w:autoSpaceDE w:val="0"/>
              <w:autoSpaceDN w:val="0"/>
              <w:spacing w:after="0" w:line="240" w:lineRule="auto"/>
              <w:ind w:left="157"/>
              <w:rPr>
                <w:rFonts w:ascii="Arial" w:eastAsia="Arial" w:hAnsi="Arial" w:cs="Arial"/>
                <w:sz w:val="24"/>
                <w:lang w:eastAsia="en-GB" w:bidi="en-GB"/>
              </w:rPr>
            </w:pPr>
            <w:r>
              <w:rPr>
                <w:rFonts w:ascii="Arial" w:eastAsia="Arial" w:hAnsi="Arial" w:cs="Arial"/>
                <w:color w:val="221F1F"/>
                <w:sz w:val="24"/>
                <w:lang w:eastAsia="en-GB" w:bidi="en-GB"/>
              </w:rPr>
              <w:t>Subc</w:t>
            </w:r>
            <w:r w:rsidRPr="00483085">
              <w:rPr>
                <w:rFonts w:ascii="Arial" w:eastAsia="Arial" w:hAnsi="Arial" w:cs="Arial"/>
                <w:color w:val="221F1F"/>
                <w:sz w:val="24"/>
                <w:lang w:eastAsia="en-GB" w:bidi="en-GB"/>
              </w:rPr>
              <w:t>ommittee</w:t>
            </w:r>
          </w:p>
        </w:tc>
      </w:tr>
      <w:tr w:rsidR="00194FF1" w:rsidRPr="00483085" w14:paraId="6D95CF80" w14:textId="77777777" w:rsidTr="001759E7">
        <w:trPr>
          <w:trHeight w:val="833"/>
        </w:trPr>
        <w:tc>
          <w:tcPr>
            <w:tcW w:w="6116" w:type="dxa"/>
            <w:gridSpan w:val="2"/>
          </w:tcPr>
          <w:p w14:paraId="493B481B" w14:textId="77777777" w:rsidR="00194FF1" w:rsidRPr="00483085" w:rsidRDefault="00194FF1" w:rsidP="00027EEC">
            <w:pPr>
              <w:widowControl w:val="0"/>
              <w:autoSpaceDE w:val="0"/>
              <w:autoSpaceDN w:val="0"/>
              <w:spacing w:before="2" w:after="0" w:line="276" w:lineRule="exact"/>
              <w:ind w:left="196" w:right="22"/>
              <w:rPr>
                <w:rFonts w:ascii="Arial" w:eastAsia="Arial" w:hAnsi="Arial" w:cs="Arial"/>
                <w:sz w:val="24"/>
                <w:lang w:eastAsia="en-GB" w:bidi="en-GB"/>
              </w:rPr>
            </w:pPr>
            <w:r w:rsidRPr="00483085">
              <w:rPr>
                <w:rFonts w:ascii="Arial" w:eastAsia="Arial" w:hAnsi="Arial" w:cs="Arial"/>
                <w:color w:val="221F1F"/>
                <w:sz w:val="24"/>
                <w:lang w:eastAsia="en-GB" w:bidi="en-GB"/>
              </w:rPr>
              <w:t>Regulation 23 – determination of application (application from NHS chemist in respect of providing directed services)</w:t>
            </w:r>
          </w:p>
        </w:tc>
        <w:tc>
          <w:tcPr>
            <w:tcW w:w="1984" w:type="dxa"/>
          </w:tcPr>
          <w:p w14:paraId="024A0B07" w14:textId="44129D71" w:rsidR="00194FF1" w:rsidRPr="00483085" w:rsidRDefault="001759E7" w:rsidP="00027EEC">
            <w:pPr>
              <w:widowControl w:val="0"/>
              <w:autoSpaceDE w:val="0"/>
              <w:autoSpaceDN w:val="0"/>
              <w:spacing w:after="0" w:line="274" w:lineRule="exact"/>
              <w:ind w:left="157"/>
              <w:rPr>
                <w:rFonts w:ascii="Arial" w:eastAsia="Arial" w:hAnsi="Arial" w:cs="Arial"/>
                <w:sz w:val="24"/>
                <w:lang w:eastAsia="en-GB" w:bidi="en-GB"/>
              </w:rPr>
            </w:pPr>
            <w:r>
              <w:rPr>
                <w:rFonts w:ascii="Arial" w:eastAsia="Arial" w:hAnsi="Arial" w:cs="Arial"/>
                <w:color w:val="221F1F"/>
                <w:sz w:val="24"/>
                <w:lang w:eastAsia="en-GB" w:bidi="en-GB"/>
              </w:rPr>
              <w:t>Subc</w:t>
            </w:r>
            <w:r w:rsidRPr="00483085">
              <w:rPr>
                <w:rFonts w:ascii="Arial" w:eastAsia="Arial" w:hAnsi="Arial" w:cs="Arial"/>
                <w:color w:val="221F1F"/>
                <w:sz w:val="24"/>
                <w:lang w:eastAsia="en-GB" w:bidi="en-GB"/>
              </w:rPr>
              <w:t>ommittee</w:t>
            </w:r>
          </w:p>
        </w:tc>
      </w:tr>
      <w:tr w:rsidR="00194FF1" w:rsidRPr="00483085" w14:paraId="7D7F2378" w14:textId="77777777" w:rsidTr="001759E7">
        <w:trPr>
          <w:trHeight w:val="567"/>
        </w:trPr>
        <w:tc>
          <w:tcPr>
            <w:tcW w:w="6116" w:type="dxa"/>
            <w:gridSpan w:val="2"/>
          </w:tcPr>
          <w:p w14:paraId="2746580A" w14:textId="77777777" w:rsidR="00194FF1" w:rsidRPr="00483085" w:rsidRDefault="00194FF1" w:rsidP="00027EEC">
            <w:pPr>
              <w:widowControl w:val="0"/>
              <w:autoSpaceDE w:val="0"/>
              <w:autoSpaceDN w:val="0"/>
              <w:spacing w:before="1" w:after="0" w:line="270" w:lineRule="atLeast"/>
              <w:ind w:left="196" w:right="129"/>
              <w:rPr>
                <w:rFonts w:ascii="Arial" w:eastAsia="Arial" w:hAnsi="Arial" w:cs="Arial"/>
                <w:sz w:val="24"/>
                <w:lang w:eastAsia="en-GB" w:bidi="en-GB"/>
              </w:rPr>
            </w:pPr>
            <w:r w:rsidRPr="00483085">
              <w:rPr>
                <w:rFonts w:ascii="Arial" w:eastAsia="Arial" w:hAnsi="Arial" w:cs="Arial"/>
                <w:color w:val="221F1F"/>
                <w:sz w:val="24"/>
                <w:lang w:eastAsia="en-GB" w:bidi="en-GB"/>
              </w:rPr>
              <w:t>Regulation 24 – determination of application (relocation involving no significant change)</w:t>
            </w:r>
          </w:p>
        </w:tc>
        <w:tc>
          <w:tcPr>
            <w:tcW w:w="1984" w:type="dxa"/>
          </w:tcPr>
          <w:p w14:paraId="50AC4FD3" w14:textId="32F4F7FC" w:rsidR="00194FF1" w:rsidRPr="00483085" w:rsidRDefault="001759E7" w:rsidP="00027EEC">
            <w:pPr>
              <w:widowControl w:val="0"/>
              <w:autoSpaceDE w:val="0"/>
              <w:autoSpaceDN w:val="0"/>
              <w:spacing w:before="1" w:after="0" w:line="240" w:lineRule="auto"/>
              <w:ind w:left="157"/>
              <w:rPr>
                <w:rFonts w:ascii="Arial" w:eastAsia="Arial" w:hAnsi="Arial" w:cs="Arial"/>
                <w:sz w:val="24"/>
                <w:lang w:eastAsia="en-GB" w:bidi="en-GB"/>
              </w:rPr>
            </w:pPr>
            <w:r>
              <w:rPr>
                <w:rFonts w:ascii="Arial" w:eastAsia="Arial" w:hAnsi="Arial" w:cs="Arial"/>
                <w:color w:val="221F1F"/>
                <w:sz w:val="24"/>
                <w:lang w:eastAsia="en-GB" w:bidi="en-GB"/>
              </w:rPr>
              <w:t>Subc</w:t>
            </w:r>
            <w:r w:rsidRPr="00483085">
              <w:rPr>
                <w:rFonts w:ascii="Arial" w:eastAsia="Arial" w:hAnsi="Arial" w:cs="Arial"/>
                <w:color w:val="221F1F"/>
                <w:sz w:val="24"/>
                <w:lang w:eastAsia="en-GB" w:bidi="en-GB"/>
              </w:rPr>
              <w:t>ommittee</w:t>
            </w:r>
          </w:p>
        </w:tc>
      </w:tr>
      <w:tr w:rsidR="00194FF1" w:rsidRPr="00483085" w14:paraId="039ADF3D" w14:textId="77777777" w:rsidTr="001759E7">
        <w:trPr>
          <w:trHeight w:val="563"/>
        </w:trPr>
        <w:tc>
          <w:tcPr>
            <w:tcW w:w="6116" w:type="dxa"/>
            <w:gridSpan w:val="2"/>
          </w:tcPr>
          <w:p w14:paraId="1180C049" w14:textId="77777777" w:rsidR="00194FF1" w:rsidRPr="00483085" w:rsidRDefault="00194FF1" w:rsidP="00027EEC">
            <w:pPr>
              <w:widowControl w:val="0"/>
              <w:autoSpaceDE w:val="0"/>
              <w:autoSpaceDN w:val="0"/>
              <w:spacing w:before="1" w:after="0" w:line="270" w:lineRule="atLeast"/>
              <w:ind w:left="196" w:right="22"/>
              <w:rPr>
                <w:rFonts w:ascii="Arial" w:eastAsia="Arial" w:hAnsi="Arial" w:cs="Arial"/>
                <w:sz w:val="24"/>
                <w:lang w:eastAsia="en-GB" w:bidi="en-GB"/>
              </w:rPr>
            </w:pPr>
            <w:r w:rsidRPr="00483085">
              <w:rPr>
                <w:rFonts w:ascii="Arial" w:eastAsia="Arial" w:hAnsi="Arial" w:cs="Arial"/>
                <w:color w:val="221F1F"/>
                <w:sz w:val="24"/>
                <w:lang w:eastAsia="en-GB" w:bidi="en-GB"/>
              </w:rPr>
              <w:t>Regulation 25 – determination of application (distance selling pharmacies)</w:t>
            </w:r>
          </w:p>
        </w:tc>
        <w:tc>
          <w:tcPr>
            <w:tcW w:w="1984" w:type="dxa"/>
          </w:tcPr>
          <w:p w14:paraId="135D7695" w14:textId="62E4F346" w:rsidR="00194FF1" w:rsidRPr="00483085" w:rsidRDefault="001759E7" w:rsidP="00027EEC">
            <w:pPr>
              <w:widowControl w:val="0"/>
              <w:autoSpaceDE w:val="0"/>
              <w:autoSpaceDN w:val="0"/>
              <w:spacing w:before="1" w:after="0" w:line="240" w:lineRule="auto"/>
              <w:ind w:left="157"/>
              <w:rPr>
                <w:rFonts w:ascii="Arial" w:eastAsia="Arial" w:hAnsi="Arial" w:cs="Arial"/>
                <w:sz w:val="24"/>
                <w:lang w:eastAsia="en-GB" w:bidi="en-GB"/>
              </w:rPr>
            </w:pPr>
            <w:r>
              <w:rPr>
                <w:rFonts w:ascii="Arial" w:eastAsia="Arial" w:hAnsi="Arial" w:cs="Arial"/>
                <w:color w:val="221F1F"/>
                <w:sz w:val="24"/>
                <w:lang w:eastAsia="en-GB" w:bidi="en-GB"/>
              </w:rPr>
              <w:t>Subc</w:t>
            </w:r>
            <w:r w:rsidRPr="00483085">
              <w:rPr>
                <w:rFonts w:ascii="Arial" w:eastAsia="Arial" w:hAnsi="Arial" w:cs="Arial"/>
                <w:color w:val="221F1F"/>
                <w:sz w:val="24"/>
                <w:lang w:eastAsia="en-GB" w:bidi="en-GB"/>
              </w:rPr>
              <w:t>ommittee</w:t>
            </w:r>
          </w:p>
        </w:tc>
      </w:tr>
      <w:tr w:rsidR="00194FF1" w:rsidRPr="00483085" w14:paraId="55FF2E64" w14:textId="77777777" w:rsidTr="001759E7">
        <w:trPr>
          <w:trHeight w:val="555"/>
        </w:trPr>
        <w:tc>
          <w:tcPr>
            <w:tcW w:w="6116" w:type="dxa"/>
            <w:gridSpan w:val="2"/>
          </w:tcPr>
          <w:p w14:paraId="6772E7F9" w14:textId="77777777" w:rsidR="00194FF1" w:rsidRPr="00483085" w:rsidRDefault="00194FF1" w:rsidP="00027EEC">
            <w:pPr>
              <w:widowControl w:val="0"/>
              <w:autoSpaceDE w:val="0"/>
              <w:autoSpaceDN w:val="0"/>
              <w:spacing w:after="0" w:line="270" w:lineRule="atLeast"/>
              <w:ind w:left="196" w:right="89"/>
              <w:rPr>
                <w:rFonts w:ascii="Arial" w:eastAsia="Arial" w:hAnsi="Arial" w:cs="Arial"/>
                <w:sz w:val="24"/>
                <w:lang w:eastAsia="en-GB" w:bidi="en-GB"/>
              </w:rPr>
            </w:pPr>
            <w:r w:rsidRPr="00483085">
              <w:rPr>
                <w:rFonts w:ascii="Arial" w:eastAsia="Arial" w:hAnsi="Arial" w:cs="Arial"/>
                <w:color w:val="221F1F"/>
                <w:sz w:val="24"/>
                <w:lang w:eastAsia="en-GB" w:bidi="en-GB"/>
              </w:rPr>
              <w:t>Regulation 26(1) – determination of application (change of ownership)</w:t>
            </w:r>
          </w:p>
        </w:tc>
        <w:tc>
          <w:tcPr>
            <w:tcW w:w="1984" w:type="dxa"/>
          </w:tcPr>
          <w:p w14:paraId="3E3A19DE" w14:textId="6776E2C4" w:rsidR="00194FF1" w:rsidRPr="00483085" w:rsidRDefault="00194FF1" w:rsidP="00027EEC">
            <w:pPr>
              <w:widowControl w:val="0"/>
              <w:autoSpaceDE w:val="0"/>
              <w:autoSpaceDN w:val="0"/>
              <w:spacing w:after="0" w:line="270" w:lineRule="atLeast"/>
              <w:ind w:left="157" w:right="268"/>
              <w:rPr>
                <w:rFonts w:ascii="Arial" w:eastAsia="Arial" w:hAnsi="Arial" w:cs="Arial"/>
                <w:sz w:val="24"/>
                <w:lang w:eastAsia="en-GB" w:bidi="en-GB"/>
              </w:rPr>
            </w:pPr>
            <w:r w:rsidRPr="00483085">
              <w:rPr>
                <w:rFonts w:ascii="Arial" w:eastAsia="Arial" w:hAnsi="Arial" w:cs="Arial"/>
                <w:color w:val="221F1F"/>
                <w:sz w:val="24"/>
                <w:lang w:eastAsia="en-GB" w:bidi="en-GB"/>
              </w:rPr>
              <w:t xml:space="preserve">Officer or </w:t>
            </w:r>
            <w:r w:rsidR="001759E7">
              <w:rPr>
                <w:rFonts w:ascii="Arial" w:eastAsia="Arial" w:hAnsi="Arial" w:cs="Arial"/>
                <w:color w:val="221F1F"/>
                <w:sz w:val="24"/>
                <w:lang w:eastAsia="en-GB" w:bidi="en-GB"/>
              </w:rPr>
              <w:t>Subc</w:t>
            </w:r>
            <w:r w:rsidR="001759E7" w:rsidRPr="00483085">
              <w:rPr>
                <w:rFonts w:ascii="Arial" w:eastAsia="Arial" w:hAnsi="Arial" w:cs="Arial"/>
                <w:color w:val="221F1F"/>
                <w:sz w:val="24"/>
                <w:lang w:eastAsia="en-GB" w:bidi="en-GB"/>
              </w:rPr>
              <w:t>ommittee</w:t>
            </w:r>
          </w:p>
        </w:tc>
      </w:tr>
      <w:tr w:rsidR="00194FF1" w:rsidRPr="00483085" w14:paraId="50249741" w14:textId="77777777" w:rsidTr="001759E7">
        <w:trPr>
          <w:trHeight w:val="828"/>
        </w:trPr>
        <w:tc>
          <w:tcPr>
            <w:tcW w:w="6116" w:type="dxa"/>
            <w:gridSpan w:val="2"/>
          </w:tcPr>
          <w:p w14:paraId="39A39CE0" w14:textId="77777777" w:rsidR="00194FF1" w:rsidRPr="00483085" w:rsidRDefault="00194FF1" w:rsidP="00027EEC">
            <w:pPr>
              <w:widowControl w:val="0"/>
              <w:autoSpaceDE w:val="0"/>
              <w:autoSpaceDN w:val="0"/>
              <w:spacing w:before="1" w:after="0" w:line="270" w:lineRule="atLeast"/>
              <w:ind w:left="196" w:right="396"/>
              <w:rPr>
                <w:rFonts w:ascii="Arial" w:eastAsia="Arial" w:hAnsi="Arial" w:cs="Arial"/>
                <w:sz w:val="24"/>
                <w:lang w:eastAsia="en-GB" w:bidi="en-GB"/>
              </w:rPr>
            </w:pPr>
            <w:r w:rsidRPr="00483085">
              <w:rPr>
                <w:rFonts w:ascii="Arial" w:eastAsia="Arial" w:hAnsi="Arial" w:cs="Arial"/>
                <w:color w:val="221F1F"/>
                <w:sz w:val="24"/>
                <w:lang w:eastAsia="en-GB" w:bidi="en-GB"/>
              </w:rPr>
              <w:t>Regulation 26(2) – determination of application (relocation involving no significant change/change of ownership)</w:t>
            </w:r>
          </w:p>
        </w:tc>
        <w:tc>
          <w:tcPr>
            <w:tcW w:w="1984" w:type="dxa"/>
          </w:tcPr>
          <w:p w14:paraId="54C62274" w14:textId="5FB8BFE3" w:rsidR="00194FF1" w:rsidRPr="00483085" w:rsidRDefault="001759E7" w:rsidP="00027EEC">
            <w:pPr>
              <w:widowControl w:val="0"/>
              <w:autoSpaceDE w:val="0"/>
              <w:autoSpaceDN w:val="0"/>
              <w:spacing w:before="1" w:after="0" w:line="240" w:lineRule="auto"/>
              <w:ind w:left="157"/>
              <w:rPr>
                <w:rFonts w:ascii="Arial" w:eastAsia="Arial" w:hAnsi="Arial" w:cs="Arial"/>
                <w:sz w:val="24"/>
                <w:lang w:eastAsia="en-GB" w:bidi="en-GB"/>
              </w:rPr>
            </w:pPr>
            <w:r>
              <w:rPr>
                <w:rFonts w:ascii="Arial" w:eastAsia="Arial" w:hAnsi="Arial" w:cs="Arial"/>
                <w:color w:val="221F1F"/>
                <w:sz w:val="24"/>
                <w:lang w:eastAsia="en-GB" w:bidi="en-GB"/>
              </w:rPr>
              <w:t>Subc</w:t>
            </w:r>
            <w:r w:rsidRPr="00483085">
              <w:rPr>
                <w:rFonts w:ascii="Arial" w:eastAsia="Arial" w:hAnsi="Arial" w:cs="Arial"/>
                <w:color w:val="221F1F"/>
                <w:sz w:val="24"/>
                <w:lang w:eastAsia="en-GB" w:bidi="en-GB"/>
              </w:rPr>
              <w:t>ommittee</w:t>
            </w:r>
          </w:p>
        </w:tc>
      </w:tr>
      <w:tr w:rsidR="00194FF1" w:rsidRPr="00483085" w14:paraId="160294F4" w14:textId="77777777" w:rsidTr="001759E7">
        <w:trPr>
          <w:trHeight w:val="860"/>
        </w:trPr>
        <w:tc>
          <w:tcPr>
            <w:tcW w:w="6116" w:type="dxa"/>
            <w:gridSpan w:val="2"/>
          </w:tcPr>
          <w:p w14:paraId="26CB6DA9" w14:textId="77777777" w:rsidR="00194FF1" w:rsidRPr="00483085" w:rsidRDefault="00194FF1" w:rsidP="00027EEC">
            <w:pPr>
              <w:widowControl w:val="0"/>
              <w:autoSpaceDE w:val="0"/>
              <w:autoSpaceDN w:val="0"/>
              <w:spacing w:after="0" w:line="240" w:lineRule="auto"/>
              <w:ind w:left="196" w:right="263"/>
              <w:rPr>
                <w:rFonts w:ascii="Arial" w:eastAsia="Arial" w:hAnsi="Arial" w:cs="Arial"/>
                <w:sz w:val="24"/>
                <w:lang w:eastAsia="en-GB" w:bidi="en-GB"/>
              </w:rPr>
            </w:pPr>
            <w:r w:rsidRPr="00483085">
              <w:rPr>
                <w:rFonts w:ascii="Arial" w:eastAsia="Arial" w:hAnsi="Arial" w:cs="Arial"/>
                <w:color w:val="221F1F"/>
                <w:sz w:val="24"/>
                <w:lang w:eastAsia="en-GB" w:bidi="en-GB"/>
              </w:rPr>
              <w:t>Regulation 26A – determination of preliminary matters including refusal of application for reasons set out in Regulation 26A(5)(b)</w:t>
            </w:r>
          </w:p>
        </w:tc>
        <w:tc>
          <w:tcPr>
            <w:tcW w:w="1984" w:type="dxa"/>
          </w:tcPr>
          <w:p w14:paraId="653AA616" w14:textId="77777777" w:rsidR="00194FF1" w:rsidRPr="00483085" w:rsidRDefault="00194FF1" w:rsidP="00027EEC">
            <w:pPr>
              <w:widowControl w:val="0"/>
              <w:autoSpaceDE w:val="0"/>
              <w:autoSpaceDN w:val="0"/>
              <w:spacing w:after="0" w:line="240" w:lineRule="auto"/>
              <w:ind w:left="157"/>
              <w:rPr>
                <w:rFonts w:ascii="Arial" w:eastAsia="Arial" w:hAnsi="Arial" w:cs="Arial"/>
                <w:sz w:val="24"/>
                <w:lang w:eastAsia="en-GB" w:bidi="en-GB"/>
              </w:rPr>
            </w:pPr>
            <w:r w:rsidRPr="00483085">
              <w:rPr>
                <w:rFonts w:ascii="Arial" w:eastAsia="Arial" w:hAnsi="Arial" w:cs="Arial"/>
                <w:color w:val="221F1F"/>
                <w:sz w:val="24"/>
                <w:lang w:eastAsia="en-GB" w:bidi="en-GB"/>
              </w:rPr>
              <w:t>Officer</w:t>
            </w:r>
          </w:p>
        </w:tc>
      </w:tr>
      <w:tr w:rsidR="00194FF1" w:rsidRPr="00483085" w14:paraId="55096075" w14:textId="77777777" w:rsidTr="001759E7">
        <w:trPr>
          <w:trHeight w:val="551"/>
        </w:trPr>
        <w:tc>
          <w:tcPr>
            <w:tcW w:w="6116" w:type="dxa"/>
            <w:gridSpan w:val="2"/>
          </w:tcPr>
          <w:p w14:paraId="7C190AE3" w14:textId="77777777" w:rsidR="00194FF1" w:rsidRPr="00483085" w:rsidRDefault="00194FF1" w:rsidP="00027EEC">
            <w:pPr>
              <w:widowControl w:val="0"/>
              <w:autoSpaceDE w:val="0"/>
              <w:autoSpaceDN w:val="0"/>
              <w:spacing w:after="0" w:line="270" w:lineRule="atLeast"/>
              <w:ind w:left="196" w:right="1156"/>
              <w:rPr>
                <w:rFonts w:ascii="Arial" w:eastAsia="Arial" w:hAnsi="Arial" w:cs="Arial"/>
                <w:sz w:val="24"/>
                <w:lang w:eastAsia="en-GB" w:bidi="en-GB"/>
              </w:rPr>
            </w:pPr>
            <w:r w:rsidRPr="00483085">
              <w:rPr>
                <w:rFonts w:ascii="Arial" w:eastAsia="Arial" w:hAnsi="Arial" w:cs="Arial"/>
                <w:color w:val="221F1F"/>
                <w:sz w:val="24"/>
                <w:lang w:eastAsia="en-GB" w:bidi="en-GB"/>
              </w:rPr>
              <w:t>Regulation 26A – determination of application (consolidation onto an existing site)</w:t>
            </w:r>
          </w:p>
        </w:tc>
        <w:tc>
          <w:tcPr>
            <w:tcW w:w="1984" w:type="dxa"/>
          </w:tcPr>
          <w:p w14:paraId="67C393C8" w14:textId="39DF037F" w:rsidR="00194FF1" w:rsidRPr="00483085" w:rsidRDefault="001759E7" w:rsidP="00027EEC">
            <w:pPr>
              <w:widowControl w:val="0"/>
              <w:autoSpaceDE w:val="0"/>
              <w:autoSpaceDN w:val="0"/>
              <w:spacing w:after="0" w:line="240" w:lineRule="auto"/>
              <w:ind w:left="157"/>
              <w:rPr>
                <w:rFonts w:ascii="Arial" w:eastAsia="Arial" w:hAnsi="Arial" w:cs="Arial"/>
                <w:sz w:val="24"/>
                <w:lang w:eastAsia="en-GB" w:bidi="en-GB"/>
              </w:rPr>
            </w:pPr>
            <w:r>
              <w:rPr>
                <w:rFonts w:ascii="Arial" w:eastAsia="Arial" w:hAnsi="Arial" w:cs="Arial"/>
                <w:color w:val="221F1F"/>
                <w:sz w:val="24"/>
                <w:lang w:eastAsia="en-GB" w:bidi="en-GB"/>
              </w:rPr>
              <w:t>Subc</w:t>
            </w:r>
            <w:r w:rsidRPr="00483085">
              <w:rPr>
                <w:rFonts w:ascii="Arial" w:eastAsia="Arial" w:hAnsi="Arial" w:cs="Arial"/>
                <w:color w:val="221F1F"/>
                <w:sz w:val="24"/>
                <w:lang w:eastAsia="en-GB" w:bidi="en-GB"/>
              </w:rPr>
              <w:t>ommittee</w:t>
            </w:r>
          </w:p>
        </w:tc>
      </w:tr>
      <w:tr w:rsidR="00194FF1" w:rsidRPr="00483085" w14:paraId="3EF67C85" w14:textId="77777777" w:rsidTr="001759E7">
        <w:trPr>
          <w:trHeight w:val="551"/>
        </w:trPr>
        <w:tc>
          <w:tcPr>
            <w:tcW w:w="6116" w:type="dxa"/>
            <w:gridSpan w:val="2"/>
          </w:tcPr>
          <w:p w14:paraId="63C64B8F" w14:textId="77777777" w:rsidR="00194FF1" w:rsidRPr="00483085" w:rsidRDefault="00194FF1" w:rsidP="00027EEC">
            <w:pPr>
              <w:widowControl w:val="0"/>
              <w:autoSpaceDE w:val="0"/>
              <w:autoSpaceDN w:val="0"/>
              <w:spacing w:after="0" w:line="270" w:lineRule="atLeast"/>
              <w:ind w:left="196" w:right="890"/>
              <w:rPr>
                <w:rFonts w:ascii="Arial" w:eastAsia="Arial" w:hAnsi="Arial" w:cs="Arial"/>
                <w:sz w:val="24"/>
                <w:lang w:eastAsia="en-GB" w:bidi="en-GB"/>
              </w:rPr>
            </w:pPr>
            <w:r w:rsidRPr="00483085">
              <w:rPr>
                <w:rFonts w:ascii="Arial" w:eastAsia="Arial" w:hAnsi="Arial" w:cs="Arial"/>
                <w:color w:val="221F1F"/>
                <w:sz w:val="24"/>
                <w:lang w:eastAsia="en-GB" w:bidi="en-GB"/>
              </w:rPr>
              <w:t>Regulation 27 – determination of application (for temporary listing arising out of suspension)</w:t>
            </w:r>
          </w:p>
        </w:tc>
        <w:tc>
          <w:tcPr>
            <w:tcW w:w="1984" w:type="dxa"/>
          </w:tcPr>
          <w:p w14:paraId="494D8BBC" w14:textId="0104FCF3" w:rsidR="00194FF1" w:rsidRPr="00483085" w:rsidRDefault="001759E7" w:rsidP="00027EEC">
            <w:pPr>
              <w:widowControl w:val="0"/>
              <w:autoSpaceDE w:val="0"/>
              <w:autoSpaceDN w:val="0"/>
              <w:spacing w:after="0" w:line="240" w:lineRule="auto"/>
              <w:ind w:left="157"/>
              <w:rPr>
                <w:rFonts w:ascii="Arial" w:eastAsia="Arial" w:hAnsi="Arial" w:cs="Arial"/>
                <w:sz w:val="24"/>
                <w:lang w:eastAsia="en-GB" w:bidi="en-GB"/>
              </w:rPr>
            </w:pPr>
            <w:r>
              <w:rPr>
                <w:rFonts w:ascii="Arial" w:eastAsia="Arial" w:hAnsi="Arial" w:cs="Arial"/>
                <w:color w:val="221F1F"/>
                <w:sz w:val="24"/>
                <w:lang w:eastAsia="en-GB" w:bidi="en-GB"/>
              </w:rPr>
              <w:t>Subc</w:t>
            </w:r>
            <w:r w:rsidRPr="00483085">
              <w:rPr>
                <w:rFonts w:ascii="Arial" w:eastAsia="Arial" w:hAnsi="Arial" w:cs="Arial"/>
                <w:color w:val="221F1F"/>
                <w:sz w:val="24"/>
                <w:lang w:eastAsia="en-GB" w:bidi="en-GB"/>
              </w:rPr>
              <w:t>ommittee</w:t>
            </w:r>
          </w:p>
        </w:tc>
      </w:tr>
      <w:tr w:rsidR="00194FF1" w:rsidRPr="00483085" w14:paraId="0D9225F8" w14:textId="77777777" w:rsidTr="001759E7">
        <w:trPr>
          <w:trHeight w:val="560"/>
        </w:trPr>
        <w:tc>
          <w:tcPr>
            <w:tcW w:w="6116" w:type="dxa"/>
            <w:gridSpan w:val="2"/>
          </w:tcPr>
          <w:p w14:paraId="1113D043" w14:textId="77777777" w:rsidR="00194FF1" w:rsidRPr="00483085" w:rsidRDefault="00194FF1" w:rsidP="00027EEC">
            <w:pPr>
              <w:widowControl w:val="0"/>
              <w:autoSpaceDE w:val="0"/>
              <w:autoSpaceDN w:val="0"/>
              <w:spacing w:after="0" w:line="270" w:lineRule="atLeast"/>
              <w:ind w:left="196" w:right="89"/>
              <w:rPr>
                <w:rFonts w:ascii="Arial" w:eastAsia="Arial" w:hAnsi="Arial" w:cs="Arial"/>
                <w:sz w:val="24"/>
                <w:lang w:eastAsia="en-GB" w:bidi="en-GB"/>
              </w:rPr>
            </w:pPr>
            <w:r w:rsidRPr="00483085">
              <w:rPr>
                <w:rFonts w:ascii="Arial" w:eastAsia="Arial" w:hAnsi="Arial" w:cs="Arial"/>
                <w:color w:val="221F1F"/>
                <w:sz w:val="24"/>
                <w:lang w:eastAsia="en-GB" w:bidi="en-GB"/>
              </w:rPr>
              <w:t>Regulation 28 – determination of application (exercising right of return to the pharmaceutical list)</w:t>
            </w:r>
          </w:p>
        </w:tc>
        <w:tc>
          <w:tcPr>
            <w:tcW w:w="1984" w:type="dxa"/>
          </w:tcPr>
          <w:p w14:paraId="40295AEE" w14:textId="43177BE0" w:rsidR="00194FF1" w:rsidRPr="00483085" w:rsidRDefault="00194FF1" w:rsidP="00027EEC">
            <w:pPr>
              <w:widowControl w:val="0"/>
              <w:autoSpaceDE w:val="0"/>
              <w:autoSpaceDN w:val="0"/>
              <w:spacing w:after="0" w:line="270" w:lineRule="atLeast"/>
              <w:ind w:left="157" w:right="268"/>
              <w:rPr>
                <w:rFonts w:ascii="Arial" w:eastAsia="Arial" w:hAnsi="Arial" w:cs="Arial"/>
                <w:sz w:val="24"/>
                <w:lang w:eastAsia="en-GB" w:bidi="en-GB"/>
              </w:rPr>
            </w:pPr>
            <w:r w:rsidRPr="00483085">
              <w:rPr>
                <w:rFonts w:ascii="Arial" w:eastAsia="Arial" w:hAnsi="Arial" w:cs="Arial"/>
                <w:color w:val="221F1F"/>
                <w:sz w:val="24"/>
                <w:lang w:eastAsia="en-GB" w:bidi="en-GB"/>
              </w:rPr>
              <w:t xml:space="preserve">Officer or </w:t>
            </w:r>
            <w:r w:rsidR="001759E7">
              <w:rPr>
                <w:rFonts w:ascii="Arial" w:eastAsia="Arial" w:hAnsi="Arial" w:cs="Arial"/>
                <w:color w:val="221F1F"/>
                <w:sz w:val="24"/>
                <w:lang w:eastAsia="en-GB" w:bidi="en-GB"/>
              </w:rPr>
              <w:t>Subc</w:t>
            </w:r>
            <w:r w:rsidR="001759E7" w:rsidRPr="00483085">
              <w:rPr>
                <w:rFonts w:ascii="Arial" w:eastAsia="Arial" w:hAnsi="Arial" w:cs="Arial"/>
                <w:color w:val="221F1F"/>
                <w:sz w:val="24"/>
                <w:lang w:eastAsia="en-GB" w:bidi="en-GB"/>
              </w:rPr>
              <w:t>ommittee</w:t>
            </w:r>
          </w:p>
        </w:tc>
      </w:tr>
      <w:tr w:rsidR="00194FF1" w:rsidRPr="00483085" w14:paraId="0BB43820" w14:textId="77777777" w:rsidTr="001759E7">
        <w:trPr>
          <w:trHeight w:val="838"/>
        </w:trPr>
        <w:tc>
          <w:tcPr>
            <w:tcW w:w="6116" w:type="dxa"/>
            <w:gridSpan w:val="2"/>
          </w:tcPr>
          <w:p w14:paraId="3AC755D7" w14:textId="77777777" w:rsidR="00194FF1" w:rsidRPr="00483085" w:rsidRDefault="00194FF1" w:rsidP="00027EEC">
            <w:pPr>
              <w:widowControl w:val="0"/>
              <w:autoSpaceDE w:val="0"/>
              <w:autoSpaceDN w:val="0"/>
              <w:spacing w:before="1" w:after="0" w:line="240" w:lineRule="auto"/>
              <w:ind w:left="196" w:right="89"/>
              <w:rPr>
                <w:rFonts w:ascii="Arial" w:eastAsia="Arial" w:hAnsi="Arial" w:cs="Arial"/>
                <w:sz w:val="24"/>
                <w:lang w:eastAsia="en-GB" w:bidi="en-GB"/>
              </w:rPr>
            </w:pPr>
            <w:r w:rsidRPr="00483085">
              <w:rPr>
                <w:rFonts w:ascii="Arial" w:eastAsia="Arial" w:hAnsi="Arial" w:cs="Arial"/>
                <w:color w:val="221F1F"/>
                <w:sz w:val="24"/>
                <w:lang w:eastAsia="en-GB" w:bidi="en-GB"/>
              </w:rPr>
              <w:t>Regulation 29 – determination of application (temporary arrangements during emergencies/because of</w:t>
            </w:r>
          </w:p>
          <w:p w14:paraId="0C34DC2B" w14:textId="77777777" w:rsidR="00194FF1" w:rsidRPr="00483085" w:rsidRDefault="00194FF1" w:rsidP="00027EEC">
            <w:pPr>
              <w:widowControl w:val="0"/>
              <w:autoSpaceDE w:val="0"/>
              <w:autoSpaceDN w:val="0"/>
              <w:spacing w:after="0" w:line="265" w:lineRule="exact"/>
              <w:ind w:left="196"/>
              <w:rPr>
                <w:rFonts w:ascii="Arial" w:eastAsia="Arial" w:hAnsi="Arial" w:cs="Arial"/>
                <w:sz w:val="24"/>
                <w:lang w:eastAsia="en-GB" w:bidi="en-GB"/>
              </w:rPr>
            </w:pPr>
            <w:r w:rsidRPr="00483085">
              <w:rPr>
                <w:rFonts w:ascii="Arial" w:eastAsia="Arial" w:hAnsi="Arial" w:cs="Arial"/>
                <w:color w:val="221F1F"/>
                <w:sz w:val="24"/>
                <w:lang w:eastAsia="en-GB" w:bidi="en-GB"/>
              </w:rPr>
              <w:t>circumstances beyond the control of NHS chemists)</w:t>
            </w:r>
          </w:p>
        </w:tc>
        <w:tc>
          <w:tcPr>
            <w:tcW w:w="1984" w:type="dxa"/>
          </w:tcPr>
          <w:p w14:paraId="62EF26E6" w14:textId="27CD593F" w:rsidR="00194FF1" w:rsidRPr="00483085" w:rsidRDefault="00194FF1" w:rsidP="00027EEC">
            <w:pPr>
              <w:widowControl w:val="0"/>
              <w:autoSpaceDE w:val="0"/>
              <w:autoSpaceDN w:val="0"/>
              <w:spacing w:before="1" w:after="0" w:line="240" w:lineRule="auto"/>
              <w:ind w:left="157" w:right="268"/>
              <w:rPr>
                <w:rFonts w:ascii="Arial" w:eastAsia="Arial" w:hAnsi="Arial" w:cs="Arial"/>
                <w:sz w:val="24"/>
                <w:lang w:eastAsia="en-GB" w:bidi="en-GB"/>
              </w:rPr>
            </w:pPr>
            <w:r w:rsidRPr="00483085">
              <w:rPr>
                <w:rFonts w:ascii="Arial" w:eastAsia="Arial" w:hAnsi="Arial" w:cs="Arial"/>
                <w:color w:val="221F1F"/>
                <w:sz w:val="24"/>
                <w:lang w:eastAsia="en-GB" w:bidi="en-GB"/>
              </w:rPr>
              <w:t xml:space="preserve">Officer or </w:t>
            </w:r>
            <w:r w:rsidR="001759E7">
              <w:rPr>
                <w:rFonts w:ascii="Arial" w:eastAsia="Arial" w:hAnsi="Arial" w:cs="Arial"/>
                <w:color w:val="221F1F"/>
                <w:sz w:val="24"/>
                <w:lang w:eastAsia="en-GB" w:bidi="en-GB"/>
              </w:rPr>
              <w:t>Subc</w:t>
            </w:r>
            <w:r w:rsidR="001759E7" w:rsidRPr="00483085">
              <w:rPr>
                <w:rFonts w:ascii="Arial" w:eastAsia="Arial" w:hAnsi="Arial" w:cs="Arial"/>
                <w:color w:val="221F1F"/>
                <w:sz w:val="24"/>
                <w:lang w:eastAsia="en-GB" w:bidi="en-GB"/>
              </w:rPr>
              <w:t>ommittee</w:t>
            </w:r>
          </w:p>
        </w:tc>
      </w:tr>
      <w:tr w:rsidR="00194FF1" w:rsidRPr="00483085" w14:paraId="25D7237D" w14:textId="77777777" w:rsidTr="001759E7">
        <w:trPr>
          <w:trHeight w:val="552"/>
        </w:trPr>
        <w:tc>
          <w:tcPr>
            <w:tcW w:w="6116" w:type="dxa"/>
            <w:gridSpan w:val="2"/>
          </w:tcPr>
          <w:p w14:paraId="1BD9CCB0" w14:textId="77777777" w:rsidR="00194FF1" w:rsidRPr="00483085" w:rsidRDefault="00194FF1" w:rsidP="00027EEC">
            <w:pPr>
              <w:widowControl w:val="0"/>
              <w:autoSpaceDE w:val="0"/>
              <w:autoSpaceDN w:val="0"/>
              <w:spacing w:after="0" w:line="270" w:lineRule="atLeast"/>
              <w:ind w:left="196" w:right="449"/>
              <w:rPr>
                <w:rFonts w:ascii="Arial" w:eastAsia="Arial" w:hAnsi="Arial" w:cs="Arial"/>
                <w:color w:val="221F1F"/>
                <w:sz w:val="24"/>
                <w:lang w:eastAsia="en-GB" w:bidi="en-GB"/>
              </w:rPr>
            </w:pPr>
            <w:r w:rsidRPr="00483085">
              <w:rPr>
                <w:rFonts w:ascii="Arial" w:eastAsia="Arial" w:hAnsi="Arial" w:cs="Arial"/>
                <w:color w:val="221F1F"/>
                <w:sz w:val="24"/>
                <w:lang w:eastAsia="en-GB" w:bidi="en-GB"/>
              </w:rPr>
              <w:t>Regulation 30 – refusal on language requirement for some NHS pharmacists</w:t>
            </w:r>
          </w:p>
        </w:tc>
        <w:tc>
          <w:tcPr>
            <w:tcW w:w="1984" w:type="dxa"/>
          </w:tcPr>
          <w:p w14:paraId="0D8E4419" w14:textId="0CBF16E1" w:rsidR="00194FF1" w:rsidRPr="00483085" w:rsidRDefault="001759E7" w:rsidP="00027EEC">
            <w:pPr>
              <w:widowControl w:val="0"/>
              <w:autoSpaceDE w:val="0"/>
              <w:autoSpaceDN w:val="0"/>
              <w:spacing w:after="0" w:line="270" w:lineRule="atLeast"/>
              <w:ind w:left="157" w:right="214"/>
              <w:rPr>
                <w:rFonts w:ascii="Arial" w:eastAsia="Arial" w:hAnsi="Arial" w:cs="Arial"/>
                <w:sz w:val="24"/>
                <w:lang w:eastAsia="en-GB" w:bidi="en-GB"/>
              </w:rPr>
            </w:pPr>
            <w:r>
              <w:rPr>
                <w:rFonts w:ascii="Arial" w:eastAsia="Arial" w:hAnsi="Arial" w:cs="Arial"/>
                <w:color w:val="221F1F"/>
                <w:sz w:val="24"/>
                <w:lang w:eastAsia="en-GB" w:bidi="en-GB"/>
              </w:rPr>
              <w:t>Subc</w:t>
            </w:r>
            <w:r w:rsidRPr="00483085">
              <w:rPr>
                <w:rFonts w:ascii="Arial" w:eastAsia="Arial" w:hAnsi="Arial" w:cs="Arial"/>
                <w:color w:val="221F1F"/>
                <w:sz w:val="24"/>
                <w:lang w:eastAsia="en-GB" w:bidi="en-GB"/>
              </w:rPr>
              <w:t xml:space="preserve">ommittee </w:t>
            </w:r>
            <w:r w:rsidR="00194FF1" w:rsidRPr="00483085">
              <w:rPr>
                <w:rFonts w:ascii="Arial" w:eastAsia="Arial" w:hAnsi="Arial" w:cs="Arial"/>
                <w:color w:val="221F1F"/>
                <w:sz w:val="24"/>
                <w:lang w:eastAsia="en-GB" w:bidi="en-GB"/>
              </w:rPr>
              <w:t xml:space="preserve">or </w:t>
            </w:r>
            <w:r w:rsidR="00AF7197" w:rsidRPr="00483085">
              <w:rPr>
                <w:rFonts w:ascii="Arial" w:eastAsia="Arial" w:hAnsi="Arial" w:cs="Arial"/>
                <w:color w:val="221F1F"/>
                <w:sz w:val="24"/>
                <w:lang w:eastAsia="en-GB" w:bidi="en-GB"/>
              </w:rPr>
              <w:t>P</w:t>
            </w:r>
            <w:r w:rsidR="00AF7197">
              <w:rPr>
                <w:rFonts w:ascii="Arial" w:eastAsia="Arial" w:hAnsi="Arial" w:cs="Arial"/>
                <w:color w:val="221F1F"/>
                <w:sz w:val="24"/>
                <w:lang w:eastAsia="en-GB" w:bidi="en-GB"/>
              </w:rPr>
              <w:t>erformers List Decision Panel (PLDP)</w:t>
            </w:r>
          </w:p>
        </w:tc>
      </w:tr>
      <w:tr w:rsidR="00194FF1" w:rsidRPr="00483085" w14:paraId="071BD452" w14:textId="77777777" w:rsidTr="001759E7">
        <w:trPr>
          <w:trHeight w:val="561"/>
        </w:trPr>
        <w:tc>
          <w:tcPr>
            <w:tcW w:w="6116" w:type="dxa"/>
            <w:gridSpan w:val="2"/>
            <w:tcBorders>
              <w:top w:val="nil"/>
              <w:left w:val="nil"/>
              <w:bottom w:val="nil"/>
              <w:right w:val="nil"/>
            </w:tcBorders>
            <w:shd w:val="clear" w:color="auto" w:fill="1C6CB4"/>
          </w:tcPr>
          <w:p w14:paraId="49A370A2" w14:textId="77777777" w:rsidR="00194FF1" w:rsidRPr="00483085" w:rsidRDefault="00194FF1" w:rsidP="00027EEC">
            <w:pPr>
              <w:widowControl w:val="0"/>
              <w:autoSpaceDE w:val="0"/>
              <w:autoSpaceDN w:val="0"/>
              <w:spacing w:after="0" w:line="240" w:lineRule="auto"/>
              <w:ind w:left="196"/>
              <w:rPr>
                <w:rFonts w:ascii="Arial" w:eastAsia="Arial" w:hAnsi="Arial" w:cs="Arial"/>
                <w:b/>
                <w:sz w:val="24"/>
                <w:lang w:eastAsia="en-GB" w:bidi="en-GB"/>
              </w:rPr>
            </w:pPr>
            <w:r w:rsidRPr="00483085">
              <w:rPr>
                <w:rFonts w:ascii="Arial" w:eastAsia="Arial" w:hAnsi="Arial" w:cs="Arial"/>
                <w:b/>
                <w:color w:val="FFFFFF"/>
                <w:sz w:val="24"/>
                <w:lang w:eastAsia="en-GB" w:bidi="en-GB"/>
              </w:rPr>
              <w:t>Regulatory provision</w:t>
            </w:r>
          </w:p>
        </w:tc>
        <w:tc>
          <w:tcPr>
            <w:tcW w:w="1984" w:type="dxa"/>
            <w:tcBorders>
              <w:top w:val="nil"/>
              <w:left w:val="nil"/>
              <w:bottom w:val="nil"/>
              <w:right w:val="nil"/>
            </w:tcBorders>
            <w:shd w:val="clear" w:color="auto" w:fill="1C6CB4"/>
          </w:tcPr>
          <w:p w14:paraId="1E24DC15" w14:textId="77777777" w:rsidR="00194FF1" w:rsidRPr="00483085" w:rsidRDefault="00194FF1" w:rsidP="00027EEC">
            <w:pPr>
              <w:widowControl w:val="0"/>
              <w:autoSpaceDE w:val="0"/>
              <w:autoSpaceDN w:val="0"/>
              <w:spacing w:after="0" w:line="270" w:lineRule="atLeast"/>
              <w:ind w:left="157" w:right="304"/>
              <w:rPr>
                <w:rFonts w:ascii="Arial" w:eastAsia="Arial" w:hAnsi="Arial" w:cs="Arial"/>
                <w:b/>
                <w:sz w:val="24"/>
                <w:lang w:eastAsia="en-GB" w:bidi="en-GB"/>
              </w:rPr>
            </w:pPr>
            <w:r w:rsidRPr="00483085">
              <w:rPr>
                <w:rFonts w:ascii="Arial" w:eastAsia="Arial" w:hAnsi="Arial" w:cs="Arial"/>
                <w:b/>
                <w:color w:val="FFFFFF"/>
                <w:sz w:val="24"/>
                <w:lang w:eastAsia="en-GB" w:bidi="en-GB"/>
              </w:rPr>
              <w:t>Decision- maker</w:t>
            </w:r>
          </w:p>
        </w:tc>
      </w:tr>
      <w:tr w:rsidR="00194FF1" w:rsidRPr="00483085" w14:paraId="0279C64B" w14:textId="77777777" w:rsidTr="001759E7">
        <w:trPr>
          <w:trHeight w:val="551"/>
        </w:trPr>
        <w:tc>
          <w:tcPr>
            <w:tcW w:w="6116" w:type="dxa"/>
            <w:gridSpan w:val="2"/>
            <w:tcBorders>
              <w:top w:val="nil"/>
            </w:tcBorders>
          </w:tcPr>
          <w:p w14:paraId="51ACF43A" w14:textId="77777777" w:rsidR="00194FF1" w:rsidRPr="00483085" w:rsidRDefault="00194FF1" w:rsidP="00027EEC">
            <w:pPr>
              <w:widowControl w:val="0"/>
              <w:autoSpaceDE w:val="0"/>
              <w:autoSpaceDN w:val="0"/>
              <w:spacing w:after="0" w:line="240" w:lineRule="auto"/>
              <w:ind w:left="196"/>
              <w:rPr>
                <w:rFonts w:ascii="Arial" w:eastAsia="Arial" w:hAnsi="Arial" w:cs="Arial"/>
                <w:sz w:val="24"/>
                <w:lang w:eastAsia="en-GB" w:bidi="en-GB"/>
              </w:rPr>
            </w:pPr>
            <w:r w:rsidRPr="00483085">
              <w:rPr>
                <w:rFonts w:ascii="Arial" w:eastAsia="Arial" w:hAnsi="Arial" w:cs="Arial"/>
                <w:color w:val="221F1F"/>
                <w:sz w:val="24"/>
                <w:lang w:eastAsia="en-GB" w:bidi="en-GB"/>
              </w:rPr>
              <w:t>Regulation 31 – refusal: same or adjacent premises</w:t>
            </w:r>
          </w:p>
        </w:tc>
        <w:tc>
          <w:tcPr>
            <w:tcW w:w="1984" w:type="dxa"/>
            <w:tcBorders>
              <w:top w:val="nil"/>
            </w:tcBorders>
          </w:tcPr>
          <w:p w14:paraId="732235E0" w14:textId="18D30008" w:rsidR="00194FF1" w:rsidRPr="00483085" w:rsidRDefault="001759E7" w:rsidP="00027EEC">
            <w:pPr>
              <w:widowControl w:val="0"/>
              <w:autoSpaceDE w:val="0"/>
              <w:autoSpaceDN w:val="0"/>
              <w:spacing w:after="0" w:line="240" w:lineRule="auto"/>
              <w:ind w:left="157"/>
              <w:rPr>
                <w:rFonts w:ascii="Arial" w:eastAsia="Arial" w:hAnsi="Arial" w:cs="Arial"/>
                <w:sz w:val="24"/>
                <w:lang w:eastAsia="en-GB" w:bidi="en-GB"/>
              </w:rPr>
            </w:pPr>
            <w:r>
              <w:rPr>
                <w:rFonts w:ascii="Arial" w:eastAsia="Arial" w:hAnsi="Arial" w:cs="Arial"/>
                <w:color w:val="221F1F"/>
                <w:sz w:val="24"/>
                <w:lang w:eastAsia="en-GB" w:bidi="en-GB"/>
              </w:rPr>
              <w:t>Subc</w:t>
            </w:r>
            <w:r w:rsidRPr="00483085">
              <w:rPr>
                <w:rFonts w:ascii="Arial" w:eastAsia="Arial" w:hAnsi="Arial" w:cs="Arial"/>
                <w:color w:val="221F1F"/>
                <w:sz w:val="24"/>
                <w:lang w:eastAsia="en-GB" w:bidi="en-GB"/>
              </w:rPr>
              <w:t>ommittee</w:t>
            </w:r>
          </w:p>
        </w:tc>
      </w:tr>
      <w:tr w:rsidR="00194FF1" w:rsidRPr="00483085" w14:paraId="60711821" w14:textId="77777777" w:rsidTr="001759E7">
        <w:trPr>
          <w:trHeight w:val="559"/>
        </w:trPr>
        <w:tc>
          <w:tcPr>
            <w:tcW w:w="6116" w:type="dxa"/>
            <w:gridSpan w:val="2"/>
          </w:tcPr>
          <w:p w14:paraId="14B8DEBA" w14:textId="77777777" w:rsidR="00194FF1" w:rsidRPr="00483085" w:rsidRDefault="00194FF1" w:rsidP="00027EEC">
            <w:pPr>
              <w:widowControl w:val="0"/>
              <w:autoSpaceDE w:val="0"/>
              <w:autoSpaceDN w:val="0"/>
              <w:spacing w:before="1" w:after="0" w:line="270" w:lineRule="atLeast"/>
              <w:ind w:left="196" w:right="1357"/>
              <w:rPr>
                <w:rFonts w:ascii="Arial" w:eastAsia="Arial" w:hAnsi="Arial" w:cs="Arial"/>
                <w:sz w:val="24"/>
                <w:lang w:eastAsia="en-GB" w:bidi="en-GB"/>
              </w:rPr>
            </w:pPr>
            <w:r w:rsidRPr="00483085">
              <w:rPr>
                <w:rFonts w:ascii="Arial" w:eastAsia="Arial" w:hAnsi="Arial" w:cs="Arial"/>
                <w:color w:val="221F1F"/>
                <w:sz w:val="24"/>
                <w:lang w:eastAsia="en-GB" w:bidi="en-GB"/>
              </w:rPr>
              <w:t>Regulation 32 – deferrals arising out of LPS designations</w:t>
            </w:r>
          </w:p>
        </w:tc>
        <w:tc>
          <w:tcPr>
            <w:tcW w:w="1984" w:type="dxa"/>
          </w:tcPr>
          <w:p w14:paraId="134530E2" w14:textId="456CBE76" w:rsidR="00194FF1" w:rsidRPr="00483085" w:rsidRDefault="00194FF1" w:rsidP="00027EEC">
            <w:pPr>
              <w:widowControl w:val="0"/>
              <w:autoSpaceDE w:val="0"/>
              <w:autoSpaceDN w:val="0"/>
              <w:spacing w:before="1" w:after="0" w:line="270" w:lineRule="atLeast"/>
              <w:ind w:left="157" w:right="268"/>
              <w:rPr>
                <w:rFonts w:ascii="Arial" w:eastAsia="Arial" w:hAnsi="Arial" w:cs="Arial"/>
                <w:sz w:val="24"/>
                <w:lang w:eastAsia="en-GB" w:bidi="en-GB"/>
              </w:rPr>
            </w:pPr>
            <w:r w:rsidRPr="00483085">
              <w:rPr>
                <w:rFonts w:ascii="Arial" w:eastAsia="Arial" w:hAnsi="Arial" w:cs="Arial"/>
                <w:color w:val="221F1F"/>
                <w:sz w:val="24"/>
                <w:lang w:eastAsia="en-GB" w:bidi="en-GB"/>
              </w:rPr>
              <w:t xml:space="preserve">Officer or </w:t>
            </w:r>
            <w:r w:rsidR="001759E7">
              <w:rPr>
                <w:rFonts w:ascii="Arial" w:eastAsia="Arial" w:hAnsi="Arial" w:cs="Arial"/>
                <w:color w:val="221F1F"/>
                <w:sz w:val="24"/>
                <w:lang w:eastAsia="en-GB" w:bidi="en-GB"/>
              </w:rPr>
              <w:t>Subc</w:t>
            </w:r>
            <w:r w:rsidR="001759E7" w:rsidRPr="00483085">
              <w:rPr>
                <w:rFonts w:ascii="Arial" w:eastAsia="Arial" w:hAnsi="Arial" w:cs="Arial"/>
                <w:color w:val="221F1F"/>
                <w:sz w:val="24"/>
                <w:lang w:eastAsia="en-GB" w:bidi="en-GB"/>
              </w:rPr>
              <w:t>ommittee</w:t>
            </w:r>
          </w:p>
        </w:tc>
      </w:tr>
      <w:tr w:rsidR="00194FF1" w:rsidRPr="00483085" w14:paraId="1F5430AD" w14:textId="77777777" w:rsidTr="001759E7">
        <w:trPr>
          <w:trHeight w:val="827"/>
        </w:trPr>
        <w:tc>
          <w:tcPr>
            <w:tcW w:w="6116" w:type="dxa"/>
            <w:gridSpan w:val="2"/>
          </w:tcPr>
          <w:p w14:paraId="6DB79582" w14:textId="77777777" w:rsidR="00194FF1" w:rsidRPr="00483085" w:rsidRDefault="00194FF1" w:rsidP="00027EEC">
            <w:pPr>
              <w:widowControl w:val="0"/>
              <w:autoSpaceDE w:val="0"/>
              <w:autoSpaceDN w:val="0"/>
              <w:spacing w:after="0" w:line="270" w:lineRule="atLeast"/>
              <w:ind w:left="196" w:right="636"/>
              <w:rPr>
                <w:rFonts w:ascii="Arial" w:eastAsia="Arial" w:hAnsi="Arial" w:cs="Arial"/>
                <w:sz w:val="24"/>
                <w:lang w:eastAsia="en-GB" w:bidi="en-GB"/>
              </w:rPr>
            </w:pPr>
            <w:r w:rsidRPr="00483085">
              <w:rPr>
                <w:rFonts w:ascii="Arial" w:eastAsia="Arial" w:hAnsi="Arial" w:cs="Arial"/>
                <w:color w:val="221F1F"/>
                <w:sz w:val="24"/>
                <w:lang w:eastAsia="en-GB" w:bidi="en-GB"/>
              </w:rPr>
              <w:lastRenderedPageBreak/>
              <w:t>Regulation 33 – determination of suitability of an applicant to be included in a pharmaceutical list on fitness grounds</w:t>
            </w:r>
          </w:p>
        </w:tc>
        <w:tc>
          <w:tcPr>
            <w:tcW w:w="1984" w:type="dxa"/>
          </w:tcPr>
          <w:p w14:paraId="36EF8F2B" w14:textId="48A330D3" w:rsidR="00194FF1" w:rsidRPr="00483085" w:rsidRDefault="001759E7" w:rsidP="00027EEC">
            <w:pPr>
              <w:widowControl w:val="0"/>
              <w:autoSpaceDE w:val="0"/>
              <w:autoSpaceDN w:val="0"/>
              <w:spacing w:after="0" w:line="240" w:lineRule="auto"/>
              <w:ind w:left="157" w:right="214"/>
              <w:rPr>
                <w:rFonts w:ascii="Arial" w:eastAsia="Arial" w:hAnsi="Arial" w:cs="Arial"/>
                <w:sz w:val="24"/>
                <w:lang w:eastAsia="en-GB" w:bidi="en-GB"/>
              </w:rPr>
            </w:pPr>
            <w:r>
              <w:rPr>
                <w:rFonts w:ascii="Arial" w:eastAsia="Arial" w:hAnsi="Arial" w:cs="Arial"/>
                <w:color w:val="221F1F"/>
                <w:sz w:val="24"/>
                <w:lang w:eastAsia="en-GB" w:bidi="en-GB"/>
              </w:rPr>
              <w:t>Subc</w:t>
            </w:r>
            <w:r w:rsidRPr="00483085">
              <w:rPr>
                <w:rFonts w:ascii="Arial" w:eastAsia="Arial" w:hAnsi="Arial" w:cs="Arial"/>
                <w:color w:val="221F1F"/>
                <w:sz w:val="24"/>
                <w:lang w:eastAsia="en-GB" w:bidi="en-GB"/>
              </w:rPr>
              <w:t xml:space="preserve">ommittee </w:t>
            </w:r>
            <w:r w:rsidR="00194FF1" w:rsidRPr="00483085">
              <w:rPr>
                <w:rFonts w:ascii="Arial" w:eastAsia="Arial" w:hAnsi="Arial" w:cs="Arial"/>
                <w:color w:val="221F1F"/>
                <w:sz w:val="24"/>
                <w:lang w:eastAsia="en-GB" w:bidi="en-GB"/>
              </w:rPr>
              <w:t>or PLDP</w:t>
            </w:r>
          </w:p>
        </w:tc>
      </w:tr>
      <w:tr w:rsidR="00194FF1" w:rsidRPr="00483085" w14:paraId="6806FEAB" w14:textId="77777777" w:rsidTr="001759E7">
        <w:trPr>
          <w:trHeight w:val="827"/>
        </w:trPr>
        <w:tc>
          <w:tcPr>
            <w:tcW w:w="6116" w:type="dxa"/>
            <w:gridSpan w:val="2"/>
          </w:tcPr>
          <w:p w14:paraId="7BDC1E55" w14:textId="77777777" w:rsidR="00194FF1" w:rsidRPr="00483085" w:rsidRDefault="00194FF1" w:rsidP="00027EEC">
            <w:pPr>
              <w:widowControl w:val="0"/>
              <w:autoSpaceDE w:val="0"/>
              <w:autoSpaceDN w:val="0"/>
              <w:spacing w:after="0" w:line="270" w:lineRule="atLeast"/>
              <w:ind w:left="196" w:right="169"/>
              <w:rPr>
                <w:rFonts w:ascii="Arial" w:eastAsia="Arial" w:hAnsi="Arial" w:cs="Arial"/>
                <w:sz w:val="24"/>
                <w:lang w:eastAsia="en-GB" w:bidi="en-GB"/>
              </w:rPr>
            </w:pPr>
            <w:r w:rsidRPr="00483085">
              <w:rPr>
                <w:rFonts w:ascii="Arial" w:eastAsia="Arial" w:hAnsi="Arial" w:cs="Arial"/>
                <w:color w:val="221F1F"/>
                <w:sz w:val="24"/>
                <w:lang w:eastAsia="en-GB" w:bidi="en-GB"/>
              </w:rPr>
              <w:t>Regulation 34 – determination of deferral of application to be included in a pharmaceutical list on fitness grounds</w:t>
            </w:r>
          </w:p>
        </w:tc>
        <w:tc>
          <w:tcPr>
            <w:tcW w:w="1984" w:type="dxa"/>
          </w:tcPr>
          <w:p w14:paraId="468499A4" w14:textId="75B2B883" w:rsidR="00194FF1" w:rsidRPr="00483085" w:rsidRDefault="001759E7" w:rsidP="00027EEC">
            <w:pPr>
              <w:widowControl w:val="0"/>
              <w:autoSpaceDE w:val="0"/>
              <w:autoSpaceDN w:val="0"/>
              <w:spacing w:after="0" w:line="240" w:lineRule="auto"/>
              <w:ind w:left="157" w:right="214"/>
              <w:rPr>
                <w:rFonts w:ascii="Arial" w:eastAsia="Arial" w:hAnsi="Arial" w:cs="Arial"/>
                <w:sz w:val="24"/>
                <w:lang w:eastAsia="en-GB" w:bidi="en-GB"/>
              </w:rPr>
            </w:pPr>
            <w:r>
              <w:rPr>
                <w:rFonts w:ascii="Arial" w:eastAsia="Arial" w:hAnsi="Arial" w:cs="Arial"/>
                <w:color w:val="221F1F"/>
                <w:sz w:val="24"/>
                <w:lang w:eastAsia="en-GB" w:bidi="en-GB"/>
              </w:rPr>
              <w:t>Subc</w:t>
            </w:r>
            <w:r w:rsidRPr="00483085">
              <w:rPr>
                <w:rFonts w:ascii="Arial" w:eastAsia="Arial" w:hAnsi="Arial" w:cs="Arial"/>
                <w:color w:val="221F1F"/>
                <w:sz w:val="24"/>
                <w:lang w:eastAsia="en-GB" w:bidi="en-GB"/>
              </w:rPr>
              <w:t xml:space="preserve">ommittee </w:t>
            </w:r>
            <w:r w:rsidR="00194FF1" w:rsidRPr="00483085">
              <w:rPr>
                <w:rFonts w:ascii="Arial" w:eastAsia="Arial" w:hAnsi="Arial" w:cs="Arial"/>
                <w:color w:val="221F1F"/>
                <w:sz w:val="24"/>
                <w:lang w:eastAsia="en-GB" w:bidi="en-GB"/>
              </w:rPr>
              <w:t>or PLDP</w:t>
            </w:r>
          </w:p>
        </w:tc>
      </w:tr>
      <w:tr w:rsidR="00194FF1" w:rsidRPr="00483085" w14:paraId="357D35A1" w14:textId="77777777" w:rsidTr="001759E7">
        <w:trPr>
          <w:trHeight w:val="873"/>
        </w:trPr>
        <w:tc>
          <w:tcPr>
            <w:tcW w:w="6116" w:type="dxa"/>
            <w:gridSpan w:val="2"/>
          </w:tcPr>
          <w:p w14:paraId="6F64DB02" w14:textId="77777777" w:rsidR="00194FF1" w:rsidRPr="00483085" w:rsidRDefault="00194FF1" w:rsidP="00027EEC">
            <w:pPr>
              <w:widowControl w:val="0"/>
              <w:autoSpaceDE w:val="0"/>
              <w:autoSpaceDN w:val="0"/>
              <w:spacing w:after="0" w:line="240" w:lineRule="auto"/>
              <w:ind w:left="196" w:right="49"/>
              <w:rPr>
                <w:rFonts w:ascii="Arial" w:eastAsia="Arial" w:hAnsi="Arial" w:cs="Arial"/>
                <w:sz w:val="24"/>
                <w:lang w:eastAsia="en-GB" w:bidi="en-GB"/>
              </w:rPr>
            </w:pPr>
            <w:r w:rsidRPr="00483085">
              <w:rPr>
                <w:rFonts w:ascii="Arial" w:eastAsia="Arial" w:hAnsi="Arial" w:cs="Arial"/>
                <w:color w:val="221F1F"/>
                <w:sz w:val="24"/>
                <w:lang w:eastAsia="en-GB" w:bidi="en-GB"/>
              </w:rPr>
              <w:t>Regulation 35 – determination of conditional inclusion of an applicant to be included in a pharmaceutical list on fitness grounds</w:t>
            </w:r>
          </w:p>
        </w:tc>
        <w:tc>
          <w:tcPr>
            <w:tcW w:w="1984" w:type="dxa"/>
          </w:tcPr>
          <w:p w14:paraId="0B32C35B" w14:textId="08202A5A" w:rsidR="00194FF1" w:rsidRPr="00483085" w:rsidRDefault="001759E7" w:rsidP="00027EEC">
            <w:pPr>
              <w:widowControl w:val="0"/>
              <w:autoSpaceDE w:val="0"/>
              <w:autoSpaceDN w:val="0"/>
              <w:spacing w:after="0" w:line="240" w:lineRule="auto"/>
              <w:ind w:left="157" w:right="214"/>
              <w:rPr>
                <w:rFonts w:ascii="Arial" w:eastAsia="Arial" w:hAnsi="Arial" w:cs="Arial"/>
                <w:sz w:val="24"/>
                <w:lang w:eastAsia="en-GB" w:bidi="en-GB"/>
              </w:rPr>
            </w:pPr>
            <w:r>
              <w:rPr>
                <w:rFonts w:ascii="Arial" w:eastAsia="Arial" w:hAnsi="Arial" w:cs="Arial"/>
                <w:color w:val="221F1F"/>
                <w:sz w:val="24"/>
                <w:lang w:eastAsia="en-GB" w:bidi="en-GB"/>
              </w:rPr>
              <w:t>Subc</w:t>
            </w:r>
            <w:r w:rsidRPr="00483085">
              <w:rPr>
                <w:rFonts w:ascii="Arial" w:eastAsia="Arial" w:hAnsi="Arial" w:cs="Arial"/>
                <w:color w:val="221F1F"/>
                <w:sz w:val="24"/>
                <w:lang w:eastAsia="en-GB" w:bidi="en-GB"/>
              </w:rPr>
              <w:t xml:space="preserve">ommittee </w:t>
            </w:r>
            <w:r w:rsidR="00194FF1" w:rsidRPr="00483085">
              <w:rPr>
                <w:rFonts w:ascii="Arial" w:eastAsia="Arial" w:hAnsi="Arial" w:cs="Arial"/>
                <w:color w:val="221F1F"/>
                <w:sz w:val="24"/>
                <w:lang w:eastAsia="en-GB" w:bidi="en-GB"/>
              </w:rPr>
              <w:t>or PLDP</w:t>
            </w:r>
          </w:p>
        </w:tc>
      </w:tr>
      <w:tr w:rsidR="00194FF1" w:rsidRPr="00483085" w14:paraId="054EFD2E" w14:textId="77777777" w:rsidTr="001759E7">
        <w:trPr>
          <w:trHeight w:val="2207"/>
        </w:trPr>
        <w:tc>
          <w:tcPr>
            <w:tcW w:w="6116" w:type="dxa"/>
            <w:gridSpan w:val="2"/>
          </w:tcPr>
          <w:p w14:paraId="1F7F247A" w14:textId="77777777" w:rsidR="00194FF1" w:rsidRPr="00483085" w:rsidRDefault="00194FF1" w:rsidP="00027EEC">
            <w:pPr>
              <w:widowControl w:val="0"/>
              <w:autoSpaceDE w:val="0"/>
              <w:autoSpaceDN w:val="0"/>
              <w:spacing w:after="0" w:line="270" w:lineRule="atLeast"/>
              <w:ind w:left="196" w:right="37"/>
              <w:rPr>
                <w:rFonts w:ascii="Arial" w:eastAsia="Arial" w:hAnsi="Arial" w:cs="Arial"/>
                <w:sz w:val="24"/>
                <w:lang w:eastAsia="en-GB" w:bidi="en-GB"/>
              </w:rPr>
            </w:pPr>
            <w:r w:rsidRPr="00483085">
              <w:rPr>
                <w:rFonts w:ascii="Arial" w:eastAsia="Arial" w:hAnsi="Arial" w:cs="Arial"/>
                <w:color w:val="221F1F"/>
                <w:sz w:val="24"/>
                <w:lang w:eastAsia="en-GB" w:bidi="en-GB"/>
              </w:rPr>
              <w:t>Regulation 36 – determination of whether an area is a controlled locality (or is part of a controlled locality), as a result of a local medical committee or local pharmaceutical committee request for such a determination or because NHS England is satisfied that such a determination is required (and make arrangements for any controlled locality to be clearly delineated on a published map)</w:t>
            </w:r>
          </w:p>
        </w:tc>
        <w:tc>
          <w:tcPr>
            <w:tcW w:w="1984" w:type="dxa"/>
          </w:tcPr>
          <w:p w14:paraId="6BA71EA1" w14:textId="42164CA5" w:rsidR="00194FF1" w:rsidRPr="00483085" w:rsidRDefault="0011117F" w:rsidP="00027EEC">
            <w:pPr>
              <w:widowControl w:val="0"/>
              <w:autoSpaceDE w:val="0"/>
              <w:autoSpaceDN w:val="0"/>
              <w:spacing w:after="0" w:line="240" w:lineRule="auto"/>
              <w:ind w:left="157"/>
              <w:rPr>
                <w:rFonts w:ascii="Arial" w:eastAsia="Arial" w:hAnsi="Arial" w:cs="Arial"/>
                <w:sz w:val="24"/>
                <w:lang w:eastAsia="en-GB" w:bidi="en-GB"/>
              </w:rPr>
            </w:pPr>
            <w:r>
              <w:rPr>
                <w:rFonts w:ascii="Arial" w:eastAsia="Arial" w:hAnsi="Arial" w:cs="Arial"/>
                <w:color w:val="221F1F"/>
                <w:sz w:val="24"/>
                <w:lang w:eastAsia="en-GB" w:bidi="en-GB"/>
              </w:rPr>
              <w:t xml:space="preserve">Sub </w:t>
            </w:r>
            <w:r w:rsidR="00194FF1" w:rsidRPr="00483085">
              <w:rPr>
                <w:rFonts w:ascii="Arial" w:eastAsia="Arial" w:hAnsi="Arial" w:cs="Arial"/>
                <w:color w:val="221F1F"/>
                <w:sz w:val="24"/>
                <w:lang w:eastAsia="en-GB" w:bidi="en-GB"/>
              </w:rPr>
              <w:t>Committee</w:t>
            </w:r>
          </w:p>
        </w:tc>
      </w:tr>
      <w:tr w:rsidR="00194FF1" w:rsidRPr="00483085" w14:paraId="5AF9DB4E" w14:textId="77777777" w:rsidTr="001759E7">
        <w:trPr>
          <w:trHeight w:val="551"/>
        </w:trPr>
        <w:tc>
          <w:tcPr>
            <w:tcW w:w="6116" w:type="dxa"/>
            <w:gridSpan w:val="2"/>
          </w:tcPr>
          <w:p w14:paraId="42537666" w14:textId="77777777" w:rsidR="00194FF1" w:rsidRPr="00483085" w:rsidRDefault="00194FF1" w:rsidP="00027EEC">
            <w:pPr>
              <w:widowControl w:val="0"/>
              <w:autoSpaceDE w:val="0"/>
              <w:autoSpaceDN w:val="0"/>
              <w:spacing w:before="4" w:after="0" w:line="276" w:lineRule="exact"/>
              <w:ind w:left="196" w:right="636"/>
              <w:rPr>
                <w:rFonts w:ascii="Arial" w:eastAsia="Arial" w:hAnsi="Arial" w:cs="Arial"/>
                <w:sz w:val="24"/>
                <w:lang w:eastAsia="en-GB" w:bidi="en-GB"/>
              </w:rPr>
            </w:pPr>
            <w:r w:rsidRPr="00483085">
              <w:rPr>
                <w:rFonts w:ascii="Arial" w:eastAsia="Arial" w:hAnsi="Arial" w:cs="Arial"/>
                <w:color w:val="221F1F"/>
                <w:sz w:val="24"/>
                <w:lang w:eastAsia="en-GB" w:bidi="en-GB"/>
              </w:rPr>
              <w:t>Regulation 37 – process for determining controlled localities: preliminary matters</w:t>
            </w:r>
          </w:p>
        </w:tc>
        <w:tc>
          <w:tcPr>
            <w:tcW w:w="1984" w:type="dxa"/>
          </w:tcPr>
          <w:p w14:paraId="16F1F2BC" w14:textId="4C4D5B6A" w:rsidR="00194FF1" w:rsidRPr="00483085" w:rsidRDefault="001759E7" w:rsidP="00027EEC">
            <w:pPr>
              <w:widowControl w:val="0"/>
              <w:autoSpaceDE w:val="0"/>
              <w:autoSpaceDN w:val="0"/>
              <w:spacing w:after="0" w:line="240" w:lineRule="auto"/>
              <w:ind w:left="157"/>
              <w:rPr>
                <w:rFonts w:ascii="Arial" w:eastAsia="Arial" w:hAnsi="Arial" w:cs="Arial"/>
                <w:sz w:val="24"/>
                <w:lang w:eastAsia="en-GB" w:bidi="en-GB"/>
              </w:rPr>
            </w:pPr>
            <w:r>
              <w:rPr>
                <w:rFonts w:ascii="Arial" w:eastAsia="Arial" w:hAnsi="Arial" w:cs="Arial"/>
                <w:color w:val="221F1F"/>
                <w:sz w:val="24"/>
                <w:lang w:eastAsia="en-GB" w:bidi="en-GB"/>
              </w:rPr>
              <w:t>Subc</w:t>
            </w:r>
            <w:r w:rsidRPr="00483085">
              <w:rPr>
                <w:rFonts w:ascii="Arial" w:eastAsia="Arial" w:hAnsi="Arial" w:cs="Arial"/>
                <w:color w:val="221F1F"/>
                <w:sz w:val="24"/>
                <w:lang w:eastAsia="en-GB" w:bidi="en-GB"/>
              </w:rPr>
              <w:t>ommittee</w:t>
            </w:r>
          </w:p>
        </w:tc>
      </w:tr>
      <w:tr w:rsidR="00194FF1" w:rsidRPr="00483085" w14:paraId="5CA42BEA" w14:textId="77777777" w:rsidTr="001759E7">
        <w:trPr>
          <w:trHeight w:val="824"/>
        </w:trPr>
        <w:tc>
          <w:tcPr>
            <w:tcW w:w="6116" w:type="dxa"/>
            <w:gridSpan w:val="2"/>
          </w:tcPr>
          <w:p w14:paraId="3E5F2457" w14:textId="77777777" w:rsidR="00194FF1" w:rsidRPr="00483085" w:rsidRDefault="00194FF1" w:rsidP="00027EEC">
            <w:pPr>
              <w:widowControl w:val="0"/>
              <w:autoSpaceDE w:val="0"/>
              <w:autoSpaceDN w:val="0"/>
              <w:spacing w:before="1" w:after="0" w:line="276" w:lineRule="exact"/>
              <w:ind w:left="196" w:right="463"/>
              <w:rPr>
                <w:rFonts w:ascii="Arial" w:eastAsia="Arial" w:hAnsi="Arial" w:cs="Arial"/>
                <w:sz w:val="24"/>
                <w:lang w:eastAsia="en-GB" w:bidi="en-GB"/>
              </w:rPr>
            </w:pPr>
            <w:r w:rsidRPr="00483085">
              <w:rPr>
                <w:rFonts w:ascii="Arial" w:eastAsia="Arial" w:hAnsi="Arial" w:cs="Arial"/>
                <w:color w:val="221F1F"/>
                <w:sz w:val="24"/>
                <w:lang w:eastAsia="en-GB" w:bidi="en-GB"/>
              </w:rPr>
              <w:t>Regulation 40 – applications for new pharmacy premises in controlled localities: refusals because of preliminary matters</w:t>
            </w:r>
          </w:p>
        </w:tc>
        <w:tc>
          <w:tcPr>
            <w:tcW w:w="1984" w:type="dxa"/>
          </w:tcPr>
          <w:p w14:paraId="6301F1C0" w14:textId="24DC0A4C" w:rsidR="00194FF1" w:rsidRPr="00483085" w:rsidRDefault="001759E7" w:rsidP="00027EEC">
            <w:pPr>
              <w:widowControl w:val="0"/>
              <w:autoSpaceDE w:val="0"/>
              <w:autoSpaceDN w:val="0"/>
              <w:spacing w:after="0" w:line="273" w:lineRule="exact"/>
              <w:ind w:left="157"/>
              <w:rPr>
                <w:rFonts w:ascii="Arial" w:eastAsia="Arial" w:hAnsi="Arial" w:cs="Arial"/>
                <w:sz w:val="24"/>
                <w:lang w:eastAsia="en-GB" w:bidi="en-GB"/>
              </w:rPr>
            </w:pPr>
            <w:r>
              <w:rPr>
                <w:rFonts w:ascii="Arial" w:eastAsia="Arial" w:hAnsi="Arial" w:cs="Arial"/>
                <w:color w:val="221F1F"/>
                <w:sz w:val="24"/>
                <w:lang w:eastAsia="en-GB" w:bidi="en-GB"/>
              </w:rPr>
              <w:t>Subc</w:t>
            </w:r>
            <w:r w:rsidRPr="00483085">
              <w:rPr>
                <w:rFonts w:ascii="Arial" w:eastAsia="Arial" w:hAnsi="Arial" w:cs="Arial"/>
                <w:color w:val="221F1F"/>
                <w:sz w:val="24"/>
                <w:lang w:eastAsia="en-GB" w:bidi="en-GB"/>
              </w:rPr>
              <w:t>ommittee</w:t>
            </w:r>
          </w:p>
        </w:tc>
      </w:tr>
      <w:tr w:rsidR="00194FF1" w:rsidRPr="00483085" w14:paraId="1EFE40BA" w14:textId="77777777" w:rsidTr="001759E7">
        <w:trPr>
          <w:trHeight w:val="1099"/>
        </w:trPr>
        <w:tc>
          <w:tcPr>
            <w:tcW w:w="6116" w:type="dxa"/>
            <w:gridSpan w:val="2"/>
          </w:tcPr>
          <w:p w14:paraId="21358FB2" w14:textId="77777777" w:rsidR="00194FF1" w:rsidRPr="00483085" w:rsidRDefault="00194FF1" w:rsidP="00027EEC">
            <w:pPr>
              <w:widowControl w:val="0"/>
              <w:autoSpaceDE w:val="0"/>
              <w:autoSpaceDN w:val="0"/>
              <w:spacing w:after="0" w:line="276" w:lineRule="exact"/>
              <w:ind w:left="196" w:right="396"/>
              <w:rPr>
                <w:rFonts w:ascii="Arial" w:eastAsia="Arial" w:hAnsi="Arial" w:cs="Arial"/>
                <w:sz w:val="24"/>
                <w:lang w:eastAsia="en-GB" w:bidi="en-GB"/>
              </w:rPr>
            </w:pPr>
            <w:r w:rsidRPr="00483085">
              <w:rPr>
                <w:rFonts w:ascii="Arial" w:eastAsia="Arial" w:hAnsi="Arial" w:cs="Arial"/>
                <w:color w:val="221F1F"/>
                <w:sz w:val="24"/>
                <w:lang w:eastAsia="en-GB" w:bidi="en-GB"/>
              </w:rPr>
              <w:t>Regulations 41 and 42 – determination of whether premises are (or a best estimate is) in a reserved location (and make arrangements for any reserved location to be clearly delineated on a published map)</w:t>
            </w:r>
          </w:p>
        </w:tc>
        <w:tc>
          <w:tcPr>
            <w:tcW w:w="1984" w:type="dxa"/>
          </w:tcPr>
          <w:p w14:paraId="1ED6516B" w14:textId="1C4E6694" w:rsidR="00194FF1" w:rsidRPr="00483085" w:rsidRDefault="0011117F" w:rsidP="00027EEC">
            <w:pPr>
              <w:widowControl w:val="0"/>
              <w:autoSpaceDE w:val="0"/>
              <w:autoSpaceDN w:val="0"/>
              <w:spacing w:after="0" w:line="272" w:lineRule="exact"/>
              <w:ind w:left="157"/>
              <w:rPr>
                <w:rFonts w:ascii="Arial" w:eastAsia="Arial" w:hAnsi="Arial" w:cs="Arial"/>
                <w:sz w:val="24"/>
                <w:lang w:eastAsia="en-GB" w:bidi="en-GB"/>
              </w:rPr>
            </w:pPr>
            <w:r>
              <w:rPr>
                <w:rFonts w:ascii="Arial" w:eastAsia="Arial" w:hAnsi="Arial" w:cs="Arial"/>
                <w:color w:val="221F1F"/>
                <w:sz w:val="24"/>
                <w:lang w:eastAsia="en-GB" w:bidi="en-GB"/>
              </w:rPr>
              <w:t xml:space="preserve">Sub </w:t>
            </w:r>
            <w:r w:rsidR="00194FF1" w:rsidRPr="00483085">
              <w:rPr>
                <w:rFonts w:ascii="Arial" w:eastAsia="Arial" w:hAnsi="Arial" w:cs="Arial"/>
                <w:color w:val="221F1F"/>
                <w:sz w:val="24"/>
                <w:lang w:eastAsia="en-GB" w:bidi="en-GB"/>
              </w:rPr>
              <w:t>Committee</w:t>
            </w:r>
          </w:p>
        </w:tc>
      </w:tr>
      <w:tr w:rsidR="00194FF1" w:rsidRPr="00483085" w14:paraId="741D5A7B" w14:textId="77777777" w:rsidTr="001759E7">
        <w:trPr>
          <w:trHeight w:val="822"/>
        </w:trPr>
        <w:tc>
          <w:tcPr>
            <w:tcW w:w="6116" w:type="dxa"/>
            <w:gridSpan w:val="2"/>
          </w:tcPr>
          <w:p w14:paraId="1B05E4A8" w14:textId="77777777" w:rsidR="00194FF1" w:rsidRPr="00483085" w:rsidRDefault="00194FF1" w:rsidP="00027EEC">
            <w:pPr>
              <w:widowControl w:val="0"/>
              <w:autoSpaceDE w:val="0"/>
              <w:autoSpaceDN w:val="0"/>
              <w:spacing w:after="0" w:line="240" w:lineRule="auto"/>
              <w:ind w:left="196" w:right="317"/>
              <w:rPr>
                <w:rFonts w:ascii="Arial" w:eastAsia="Arial" w:hAnsi="Arial" w:cs="Arial"/>
                <w:sz w:val="24"/>
                <w:lang w:eastAsia="en-GB" w:bidi="en-GB"/>
              </w:rPr>
            </w:pPr>
            <w:r w:rsidRPr="00483085">
              <w:rPr>
                <w:rFonts w:ascii="Arial" w:eastAsia="Arial" w:hAnsi="Arial" w:cs="Arial"/>
                <w:color w:val="221F1F"/>
                <w:sz w:val="24"/>
                <w:lang w:eastAsia="en-GB" w:bidi="en-GB"/>
              </w:rPr>
              <w:t>Regulation 44 – prejudice test in respect of routine applications for new pharmacy premises in a part of a</w:t>
            </w:r>
          </w:p>
          <w:p w14:paraId="4C21C6A4" w14:textId="77777777" w:rsidR="00194FF1" w:rsidRPr="00483085" w:rsidRDefault="00194FF1" w:rsidP="00027EEC">
            <w:pPr>
              <w:widowControl w:val="0"/>
              <w:autoSpaceDE w:val="0"/>
              <w:autoSpaceDN w:val="0"/>
              <w:spacing w:after="0" w:line="255" w:lineRule="exact"/>
              <w:ind w:left="196"/>
              <w:rPr>
                <w:rFonts w:ascii="Arial" w:eastAsia="Arial" w:hAnsi="Arial" w:cs="Arial"/>
                <w:sz w:val="24"/>
                <w:lang w:eastAsia="en-GB" w:bidi="en-GB"/>
              </w:rPr>
            </w:pPr>
            <w:r w:rsidRPr="00483085">
              <w:rPr>
                <w:rFonts w:ascii="Arial" w:eastAsia="Arial" w:hAnsi="Arial" w:cs="Arial"/>
                <w:color w:val="221F1F"/>
                <w:sz w:val="24"/>
                <w:lang w:eastAsia="en-GB" w:bidi="en-GB"/>
              </w:rPr>
              <w:t>controlled locality that is not a reserved location</w:t>
            </w:r>
          </w:p>
        </w:tc>
        <w:tc>
          <w:tcPr>
            <w:tcW w:w="1984" w:type="dxa"/>
          </w:tcPr>
          <w:p w14:paraId="46CE519A" w14:textId="612F495A" w:rsidR="00194FF1" w:rsidRPr="00483085" w:rsidRDefault="001759E7" w:rsidP="00027EEC">
            <w:pPr>
              <w:widowControl w:val="0"/>
              <w:autoSpaceDE w:val="0"/>
              <w:autoSpaceDN w:val="0"/>
              <w:spacing w:after="0" w:line="271" w:lineRule="exact"/>
              <w:ind w:left="157"/>
              <w:rPr>
                <w:rFonts w:ascii="Arial" w:eastAsia="Arial" w:hAnsi="Arial" w:cs="Arial"/>
                <w:sz w:val="24"/>
                <w:lang w:eastAsia="en-GB" w:bidi="en-GB"/>
              </w:rPr>
            </w:pPr>
            <w:r>
              <w:rPr>
                <w:rFonts w:ascii="Arial" w:eastAsia="Arial" w:hAnsi="Arial" w:cs="Arial"/>
                <w:color w:val="221F1F"/>
                <w:sz w:val="24"/>
                <w:lang w:eastAsia="en-GB" w:bidi="en-GB"/>
              </w:rPr>
              <w:t>Subc</w:t>
            </w:r>
            <w:r w:rsidRPr="00483085">
              <w:rPr>
                <w:rFonts w:ascii="Arial" w:eastAsia="Arial" w:hAnsi="Arial" w:cs="Arial"/>
                <w:color w:val="221F1F"/>
                <w:sz w:val="24"/>
                <w:lang w:eastAsia="en-GB" w:bidi="en-GB"/>
              </w:rPr>
              <w:t>ommittee</w:t>
            </w:r>
          </w:p>
        </w:tc>
      </w:tr>
      <w:tr w:rsidR="00194FF1" w:rsidRPr="00483085" w14:paraId="3C2C8875" w14:textId="77777777" w:rsidTr="001759E7">
        <w:trPr>
          <w:trHeight w:val="551"/>
        </w:trPr>
        <w:tc>
          <w:tcPr>
            <w:tcW w:w="6116" w:type="dxa"/>
            <w:gridSpan w:val="2"/>
          </w:tcPr>
          <w:p w14:paraId="25252336" w14:textId="77777777" w:rsidR="00194FF1" w:rsidRPr="00483085" w:rsidRDefault="00194FF1" w:rsidP="00027EEC">
            <w:pPr>
              <w:widowControl w:val="0"/>
              <w:autoSpaceDE w:val="0"/>
              <w:autoSpaceDN w:val="0"/>
              <w:spacing w:after="0" w:line="270" w:lineRule="atLeast"/>
              <w:ind w:left="196" w:right="289"/>
              <w:rPr>
                <w:rFonts w:ascii="Arial" w:eastAsia="Arial" w:hAnsi="Arial" w:cs="Arial"/>
                <w:sz w:val="24"/>
                <w:lang w:eastAsia="en-GB" w:bidi="en-GB"/>
              </w:rPr>
            </w:pPr>
            <w:r w:rsidRPr="00483085">
              <w:rPr>
                <w:rFonts w:ascii="Arial" w:eastAsia="Arial" w:hAnsi="Arial" w:cs="Arial"/>
                <w:color w:val="221F1F"/>
                <w:sz w:val="24"/>
                <w:lang w:eastAsia="en-GB" w:bidi="en-GB"/>
              </w:rPr>
              <w:t>Regulation 48(2) - determination of patient application ('serious difficulty' applications)</w:t>
            </w:r>
          </w:p>
        </w:tc>
        <w:tc>
          <w:tcPr>
            <w:tcW w:w="1984" w:type="dxa"/>
          </w:tcPr>
          <w:p w14:paraId="1CC49248" w14:textId="0BF197A2" w:rsidR="00194FF1" w:rsidRPr="00483085" w:rsidRDefault="00194FF1" w:rsidP="00027EEC">
            <w:pPr>
              <w:widowControl w:val="0"/>
              <w:autoSpaceDE w:val="0"/>
              <w:autoSpaceDN w:val="0"/>
              <w:spacing w:after="0" w:line="270" w:lineRule="atLeast"/>
              <w:ind w:left="157" w:right="268"/>
              <w:rPr>
                <w:rFonts w:ascii="Arial" w:eastAsia="Arial" w:hAnsi="Arial" w:cs="Arial"/>
                <w:sz w:val="24"/>
                <w:lang w:eastAsia="en-GB" w:bidi="en-GB"/>
              </w:rPr>
            </w:pPr>
            <w:r w:rsidRPr="00483085">
              <w:rPr>
                <w:rFonts w:ascii="Arial" w:eastAsia="Arial" w:hAnsi="Arial" w:cs="Arial"/>
                <w:color w:val="221F1F"/>
                <w:sz w:val="24"/>
                <w:lang w:eastAsia="en-GB" w:bidi="en-GB"/>
              </w:rPr>
              <w:t xml:space="preserve">Officer or </w:t>
            </w:r>
            <w:r w:rsidR="001759E7">
              <w:rPr>
                <w:rFonts w:ascii="Arial" w:eastAsia="Arial" w:hAnsi="Arial" w:cs="Arial"/>
                <w:color w:val="221F1F"/>
                <w:sz w:val="24"/>
                <w:lang w:eastAsia="en-GB" w:bidi="en-GB"/>
              </w:rPr>
              <w:t>Subc</w:t>
            </w:r>
            <w:r w:rsidR="001759E7" w:rsidRPr="00483085">
              <w:rPr>
                <w:rFonts w:ascii="Arial" w:eastAsia="Arial" w:hAnsi="Arial" w:cs="Arial"/>
                <w:color w:val="221F1F"/>
                <w:sz w:val="24"/>
                <w:lang w:eastAsia="en-GB" w:bidi="en-GB"/>
              </w:rPr>
              <w:t>ommittee</w:t>
            </w:r>
          </w:p>
        </w:tc>
      </w:tr>
      <w:tr w:rsidR="00194FF1" w:rsidRPr="00483085" w14:paraId="53CFE3FE" w14:textId="77777777" w:rsidTr="001759E7">
        <w:trPr>
          <w:trHeight w:val="828"/>
        </w:trPr>
        <w:tc>
          <w:tcPr>
            <w:tcW w:w="6116" w:type="dxa"/>
            <w:gridSpan w:val="2"/>
          </w:tcPr>
          <w:p w14:paraId="137BC21B" w14:textId="77777777" w:rsidR="00194FF1" w:rsidRPr="00483085" w:rsidRDefault="00194FF1" w:rsidP="00027EEC">
            <w:pPr>
              <w:widowControl w:val="0"/>
              <w:autoSpaceDE w:val="0"/>
              <w:autoSpaceDN w:val="0"/>
              <w:spacing w:before="1" w:after="0" w:line="270" w:lineRule="atLeast"/>
              <w:ind w:left="196" w:right="50"/>
              <w:rPr>
                <w:rFonts w:ascii="Arial" w:eastAsia="Arial" w:hAnsi="Arial" w:cs="Arial"/>
                <w:sz w:val="24"/>
                <w:lang w:eastAsia="en-GB" w:bidi="en-GB"/>
              </w:rPr>
            </w:pPr>
            <w:r w:rsidRPr="00483085">
              <w:rPr>
                <w:rFonts w:ascii="Arial" w:eastAsia="Arial" w:hAnsi="Arial" w:cs="Arial"/>
                <w:color w:val="221F1F"/>
                <w:sz w:val="24"/>
                <w:lang w:eastAsia="en-GB" w:bidi="en-GB"/>
              </w:rPr>
              <w:t>Regulation 48(5) to (9) – making of arrangements with a dispensing doctor to dispense to a particular patient or patients</w:t>
            </w:r>
          </w:p>
        </w:tc>
        <w:tc>
          <w:tcPr>
            <w:tcW w:w="1984" w:type="dxa"/>
          </w:tcPr>
          <w:p w14:paraId="0DD231DF" w14:textId="5AF147A2" w:rsidR="00194FF1" w:rsidRPr="00483085" w:rsidRDefault="001759E7" w:rsidP="00027EEC">
            <w:pPr>
              <w:widowControl w:val="0"/>
              <w:autoSpaceDE w:val="0"/>
              <w:autoSpaceDN w:val="0"/>
              <w:spacing w:before="1" w:after="0" w:line="240" w:lineRule="auto"/>
              <w:ind w:left="157"/>
              <w:rPr>
                <w:rFonts w:ascii="Arial" w:eastAsia="Arial" w:hAnsi="Arial" w:cs="Arial"/>
                <w:sz w:val="24"/>
                <w:lang w:eastAsia="en-GB" w:bidi="en-GB"/>
              </w:rPr>
            </w:pPr>
            <w:r>
              <w:rPr>
                <w:rFonts w:ascii="Arial" w:eastAsia="Arial" w:hAnsi="Arial" w:cs="Arial"/>
                <w:color w:val="221F1F"/>
                <w:sz w:val="24"/>
                <w:lang w:eastAsia="en-GB" w:bidi="en-GB"/>
              </w:rPr>
              <w:t>Subc</w:t>
            </w:r>
            <w:r w:rsidRPr="00483085">
              <w:rPr>
                <w:rFonts w:ascii="Arial" w:eastAsia="Arial" w:hAnsi="Arial" w:cs="Arial"/>
                <w:color w:val="221F1F"/>
                <w:sz w:val="24"/>
                <w:lang w:eastAsia="en-GB" w:bidi="en-GB"/>
              </w:rPr>
              <w:t>ommittee</w:t>
            </w:r>
          </w:p>
        </w:tc>
      </w:tr>
      <w:tr w:rsidR="00194FF1" w:rsidRPr="00483085" w14:paraId="136E28C5" w14:textId="77777777" w:rsidTr="001759E7">
        <w:trPr>
          <w:trHeight w:val="1103"/>
        </w:trPr>
        <w:tc>
          <w:tcPr>
            <w:tcW w:w="6116" w:type="dxa"/>
            <w:gridSpan w:val="2"/>
          </w:tcPr>
          <w:p w14:paraId="696A7903" w14:textId="77777777" w:rsidR="00194FF1" w:rsidRPr="00483085" w:rsidRDefault="00194FF1" w:rsidP="00027EEC">
            <w:pPr>
              <w:widowControl w:val="0"/>
              <w:autoSpaceDE w:val="0"/>
              <w:autoSpaceDN w:val="0"/>
              <w:spacing w:before="4" w:after="0" w:line="276" w:lineRule="exact"/>
              <w:ind w:left="196" w:right="171"/>
              <w:rPr>
                <w:rFonts w:ascii="Arial" w:eastAsia="Arial" w:hAnsi="Arial" w:cs="Arial"/>
                <w:sz w:val="24"/>
                <w:lang w:eastAsia="en-GB" w:bidi="en-GB"/>
              </w:rPr>
            </w:pPr>
            <w:r w:rsidRPr="00483085">
              <w:rPr>
                <w:rFonts w:ascii="Arial" w:eastAsia="Arial" w:hAnsi="Arial" w:cs="Arial"/>
                <w:color w:val="221F1F"/>
                <w:sz w:val="24"/>
                <w:lang w:eastAsia="en-GB" w:bidi="en-GB"/>
              </w:rPr>
              <w:t>Regulation 50 – consideration of '</w:t>
            </w:r>
            <w:proofErr w:type="spellStart"/>
            <w:r w:rsidRPr="00483085">
              <w:rPr>
                <w:rFonts w:ascii="Arial" w:eastAsia="Arial" w:hAnsi="Arial" w:cs="Arial"/>
                <w:color w:val="221F1F"/>
                <w:sz w:val="24"/>
                <w:lang w:eastAsia="en-GB" w:bidi="en-GB"/>
              </w:rPr>
              <w:t>gradualisation</w:t>
            </w:r>
            <w:proofErr w:type="spellEnd"/>
            <w:r w:rsidRPr="00483085">
              <w:rPr>
                <w:rFonts w:ascii="Arial" w:eastAsia="Arial" w:hAnsi="Arial" w:cs="Arial"/>
                <w:color w:val="221F1F"/>
                <w:sz w:val="24"/>
                <w:lang w:eastAsia="en-GB" w:bidi="en-GB"/>
              </w:rPr>
              <w:t>' (</w:t>
            </w:r>
            <w:proofErr w:type="spellStart"/>
            <w:r w:rsidRPr="00483085">
              <w:rPr>
                <w:rFonts w:ascii="Arial" w:eastAsia="Arial" w:hAnsi="Arial" w:cs="Arial"/>
                <w:color w:val="221F1F"/>
                <w:sz w:val="24"/>
                <w:lang w:eastAsia="en-GB" w:bidi="en-GB"/>
              </w:rPr>
              <w:t>ie</w:t>
            </w:r>
            <w:proofErr w:type="spellEnd"/>
            <w:r w:rsidRPr="00483085">
              <w:rPr>
                <w:rFonts w:ascii="Arial" w:eastAsia="Arial" w:hAnsi="Arial" w:cs="Arial"/>
                <w:color w:val="221F1F"/>
                <w:sz w:val="24"/>
                <w:lang w:eastAsia="en-GB" w:bidi="en-GB"/>
              </w:rPr>
              <w:t xml:space="preserve"> the postponement of the discontinuation of services by dispensing doctors) for an application in relation to premises in, or within 1.6km of, a controlled locality</w:t>
            </w:r>
          </w:p>
        </w:tc>
        <w:tc>
          <w:tcPr>
            <w:tcW w:w="1984" w:type="dxa"/>
          </w:tcPr>
          <w:p w14:paraId="34B15DF4" w14:textId="0044C8AE" w:rsidR="00194FF1" w:rsidRPr="00483085" w:rsidRDefault="001759E7" w:rsidP="00027EEC">
            <w:pPr>
              <w:widowControl w:val="0"/>
              <w:autoSpaceDE w:val="0"/>
              <w:autoSpaceDN w:val="0"/>
              <w:spacing w:after="0" w:line="240" w:lineRule="auto"/>
              <w:ind w:left="157"/>
              <w:rPr>
                <w:rFonts w:ascii="Arial" w:eastAsia="Arial" w:hAnsi="Arial" w:cs="Arial"/>
                <w:sz w:val="24"/>
                <w:lang w:eastAsia="en-GB" w:bidi="en-GB"/>
              </w:rPr>
            </w:pPr>
            <w:r>
              <w:rPr>
                <w:rFonts w:ascii="Arial" w:eastAsia="Arial" w:hAnsi="Arial" w:cs="Arial"/>
                <w:color w:val="221F1F"/>
                <w:sz w:val="24"/>
                <w:lang w:eastAsia="en-GB" w:bidi="en-GB"/>
              </w:rPr>
              <w:t>Subc</w:t>
            </w:r>
            <w:r w:rsidRPr="00483085">
              <w:rPr>
                <w:rFonts w:ascii="Arial" w:eastAsia="Arial" w:hAnsi="Arial" w:cs="Arial"/>
                <w:color w:val="221F1F"/>
                <w:sz w:val="24"/>
                <w:lang w:eastAsia="en-GB" w:bidi="en-GB"/>
              </w:rPr>
              <w:t>ommittee</w:t>
            </w:r>
          </w:p>
        </w:tc>
      </w:tr>
      <w:tr w:rsidR="00194FF1" w:rsidRPr="00483085" w14:paraId="2A4C8802" w14:textId="77777777" w:rsidTr="001759E7">
        <w:trPr>
          <w:trHeight w:val="1375"/>
        </w:trPr>
        <w:tc>
          <w:tcPr>
            <w:tcW w:w="6116" w:type="dxa"/>
            <w:gridSpan w:val="2"/>
          </w:tcPr>
          <w:p w14:paraId="7B749B9D" w14:textId="77777777" w:rsidR="00194FF1" w:rsidRDefault="00194FF1" w:rsidP="00027EEC">
            <w:pPr>
              <w:widowControl w:val="0"/>
              <w:autoSpaceDE w:val="0"/>
              <w:autoSpaceDN w:val="0"/>
              <w:spacing w:after="0" w:line="276" w:lineRule="exact"/>
              <w:ind w:left="196" w:right="63"/>
              <w:rPr>
                <w:rFonts w:ascii="Arial" w:eastAsia="Arial" w:hAnsi="Arial" w:cs="Arial"/>
                <w:color w:val="221F1F"/>
                <w:sz w:val="24"/>
                <w:lang w:eastAsia="en-GB" w:bidi="en-GB"/>
              </w:rPr>
            </w:pPr>
            <w:r w:rsidRPr="00483085">
              <w:rPr>
                <w:rFonts w:ascii="Arial" w:eastAsia="Arial" w:hAnsi="Arial" w:cs="Arial"/>
                <w:color w:val="221F1F"/>
                <w:sz w:val="24"/>
                <w:lang w:eastAsia="en-GB" w:bidi="en-GB"/>
              </w:rPr>
              <w:t>Regulations 51 to 60 – determination of doctor application (outline consent and premises approval) including the taking effect of decisions, relocations, gradual introduction of premises approval, temporary provisions in cases of relocations or additional premises</w:t>
            </w:r>
          </w:p>
          <w:p w14:paraId="0EA68539" w14:textId="77777777" w:rsidR="001759E7" w:rsidRDefault="001759E7" w:rsidP="00027EEC">
            <w:pPr>
              <w:widowControl w:val="0"/>
              <w:autoSpaceDE w:val="0"/>
              <w:autoSpaceDN w:val="0"/>
              <w:spacing w:after="0" w:line="276" w:lineRule="exact"/>
              <w:ind w:left="196" w:right="63"/>
              <w:rPr>
                <w:rFonts w:ascii="Arial" w:eastAsia="Arial" w:hAnsi="Arial" w:cs="Arial"/>
                <w:color w:val="221F1F"/>
                <w:sz w:val="24"/>
                <w:lang w:eastAsia="en-GB" w:bidi="en-GB"/>
              </w:rPr>
            </w:pPr>
          </w:p>
          <w:p w14:paraId="441179B4" w14:textId="77777777" w:rsidR="001759E7" w:rsidRDefault="001759E7" w:rsidP="00027EEC">
            <w:pPr>
              <w:widowControl w:val="0"/>
              <w:autoSpaceDE w:val="0"/>
              <w:autoSpaceDN w:val="0"/>
              <w:spacing w:after="0" w:line="276" w:lineRule="exact"/>
              <w:ind w:left="196" w:right="63"/>
              <w:rPr>
                <w:rFonts w:ascii="Arial" w:eastAsia="Arial" w:hAnsi="Arial" w:cs="Arial"/>
                <w:color w:val="221F1F"/>
                <w:sz w:val="24"/>
                <w:lang w:eastAsia="en-GB" w:bidi="en-GB"/>
              </w:rPr>
            </w:pPr>
          </w:p>
          <w:p w14:paraId="041EB9DA" w14:textId="2551896A" w:rsidR="001759E7" w:rsidRPr="00483085" w:rsidRDefault="001759E7" w:rsidP="00027EEC">
            <w:pPr>
              <w:widowControl w:val="0"/>
              <w:autoSpaceDE w:val="0"/>
              <w:autoSpaceDN w:val="0"/>
              <w:spacing w:after="0" w:line="276" w:lineRule="exact"/>
              <w:ind w:left="196" w:right="63"/>
              <w:rPr>
                <w:rFonts w:ascii="Arial" w:eastAsia="Arial" w:hAnsi="Arial" w:cs="Arial"/>
                <w:sz w:val="24"/>
                <w:lang w:eastAsia="en-GB" w:bidi="en-GB"/>
              </w:rPr>
            </w:pPr>
          </w:p>
        </w:tc>
        <w:tc>
          <w:tcPr>
            <w:tcW w:w="1984" w:type="dxa"/>
          </w:tcPr>
          <w:p w14:paraId="29CCA116" w14:textId="6C9846A6" w:rsidR="00194FF1" w:rsidRPr="00483085" w:rsidRDefault="001759E7" w:rsidP="00027EEC">
            <w:pPr>
              <w:widowControl w:val="0"/>
              <w:autoSpaceDE w:val="0"/>
              <w:autoSpaceDN w:val="0"/>
              <w:spacing w:after="0" w:line="272" w:lineRule="exact"/>
              <w:ind w:left="157"/>
              <w:rPr>
                <w:rFonts w:ascii="Arial" w:eastAsia="Arial" w:hAnsi="Arial" w:cs="Arial"/>
                <w:sz w:val="24"/>
                <w:lang w:eastAsia="en-GB" w:bidi="en-GB"/>
              </w:rPr>
            </w:pPr>
            <w:r>
              <w:rPr>
                <w:rFonts w:ascii="Arial" w:eastAsia="Arial" w:hAnsi="Arial" w:cs="Arial"/>
                <w:color w:val="221F1F"/>
                <w:sz w:val="24"/>
                <w:lang w:eastAsia="en-GB" w:bidi="en-GB"/>
              </w:rPr>
              <w:t>Subc</w:t>
            </w:r>
            <w:r w:rsidRPr="00483085">
              <w:rPr>
                <w:rFonts w:ascii="Arial" w:eastAsia="Arial" w:hAnsi="Arial" w:cs="Arial"/>
                <w:color w:val="221F1F"/>
                <w:sz w:val="24"/>
                <w:lang w:eastAsia="en-GB" w:bidi="en-GB"/>
              </w:rPr>
              <w:t>ommittee</w:t>
            </w:r>
          </w:p>
        </w:tc>
      </w:tr>
      <w:tr w:rsidR="00194FF1" w:rsidRPr="00483085" w14:paraId="769BC37D" w14:textId="77777777" w:rsidTr="001759E7">
        <w:trPr>
          <w:trHeight w:val="561"/>
        </w:trPr>
        <w:tc>
          <w:tcPr>
            <w:tcW w:w="6116" w:type="dxa"/>
            <w:gridSpan w:val="2"/>
            <w:tcBorders>
              <w:top w:val="nil"/>
              <w:left w:val="nil"/>
              <w:bottom w:val="nil"/>
              <w:right w:val="nil"/>
            </w:tcBorders>
            <w:shd w:val="clear" w:color="auto" w:fill="1C6CB4"/>
          </w:tcPr>
          <w:p w14:paraId="0FAA9242" w14:textId="77777777" w:rsidR="00194FF1" w:rsidRPr="00483085" w:rsidRDefault="00194FF1" w:rsidP="00027EEC">
            <w:pPr>
              <w:widowControl w:val="0"/>
              <w:autoSpaceDE w:val="0"/>
              <w:autoSpaceDN w:val="0"/>
              <w:spacing w:after="0" w:line="240" w:lineRule="auto"/>
              <w:ind w:left="196"/>
              <w:rPr>
                <w:rFonts w:ascii="Arial" w:eastAsia="Arial" w:hAnsi="Arial" w:cs="Arial"/>
                <w:b/>
                <w:sz w:val="24"/>
                <w:lang w:eastAsia="en-GB" w:bidi="en-GB"/>
              </w:rPr>
            </w:pPr>
            <w:r w:rsidRPr="00483085">
              <w:rPr>
                <w:rFonts w:ascii="Arial" w:eastAsia="Arial" w:hAnsi="Arial" w:cs="Arial"/>
                <w:b/>
                <w:color w:val="FFFFFF"/>
                <w:sz w:val="24"/>
                <w:lang w:eastAsia="en-GB" w:bidi="en-GB"/>
              </w:rPr>
              <w:lastRenderedPageBreak/>
              <w:t>Regulatory provision</w:t>
            </w:r>
          </w:p>
        </w:tc>
        <w:tc>
          <w:tcPr>
            <w:tcW w:w="1984" w:type="dxa"/>
            <w:tcBorders>
              <w:top w:val="nil"/>
              <w:left w:val="nil"/>
              <w:bottom w:val="nil"/>
              <w:right w:val="nil"/>
            </w:tcBorders>
            <w:shd w:val="clear" w:color="auto" w:fill="1C6CB4"/>
          </w:tcPr>
          <w:p w14:paraId="1DB9A92C" w14:textId="77777777" w:rsidR="00194FF1" w:rsidRPr="00483085" w:rsidRDefault="00194FF1" w:rsidP="00027EEC">
            <w:pPr>
              <w:widowControl w:val="0"/>
              <w:autoSpaceDE w:val="0"/>
              <w:autoSpaceDN w:val="0"/>
              <w:spacing w:after="0" w:line="270" w:lineRule="atLeast"/>
              <w:ind w:left="157" w:right="304"/>
              <w:rPr>
                <w:rFonts w:ascii="Arial" w:eastAsia="Arial" w:hAnsi="Arial" w:cs="Arial"/>
                <w:b/>
                <w:sz w:val="24"/>
                <w:lang w:eastAsia="en-GB" w:bidi="en-GB"/>
              </w:rPr>
            </w:pPr>
            <w:r w:rsidRPr="00483085">
              <w:rPr>
                <w:rFonts w:ascii="Arial" w:eastAsia="Arial" w:hAnsi="Arial" w:cs="Arial"/>
                <w:b/>
                <w:color w:val="FFFFFF"/>
                <w:sz w:val="24"/>
                <w:lang w:eastAsia="en-GB" w:bidi="en-GB"/>
              </w:rPr>
              <w:t>Decision- maker</w:t>
            </w:r>
          </w:p>
        </w:tc>
      </w:tr>
      <w:tr w:rsidR="00194FF1" w:rsidRPr="00483085" w14:paraId="06C488C3" w14:textId="77777777" w:rsidTr="001759E7">
        <w:trPr>
          <w:trHeight w:val="828"/>
        </w:trPr>
        <w:tc>
          <w:tcPr>
            <w:tcW w:w="6116" w:type="dxa"/>
            <w:gridSpan w:val="2"/>
            <w:tcBorders>
              <w:top w:val="nil"/>
            </w:tcBorders>
          </w:tcPr>
          <w:p w14:paraId="50A78FB1" w14:textId="77777777" w:rsidR="00194FF1" w:rsidRPr="00483085" w:rsidRDefault="00194FF1" w:rsidP="00027EEC">
            <w:pPr>
              <w:widowControl w:val="0"/>
              <w:autoSpaceDE w:val="0"/>
              <w:autoSpaceDN w:val="0"/>
              <w:spacing w:after="0" w:line="240" w:lineRule="auto"/>
              <w:ind w:left="196" w:right="183"/>
              <w:rPr>
                <w:rFonts w:ascii="Arial" w:eastAsia="Arial" w:hAnsi="Arial" w:cs="Arial"/>
                <w:sz w:val="24"/>
                <w:lang w:eastAsia="en-GB" w:bidi="en-GB"/>
              </w:rPr>
            </w:pPr>
            <w:r w:rsidRPr="00483085">
              <w:rPr>
                <w:rFonts w:ascii="Arial" w:eastAsia="Arial" w:hAnsi="Arial" w:cs="Arial"/>
                <w:color w:val="221F1F"/>
                <w:sz w:val="24"/>
                <w:lang w:eastAsia="en-GB" w:bidi="en-GB"/>
              </w:rPr>
              <w:t>where premises approval has not taken effect, practice amalgamations, and lapse of outline consent and</w:t>
            </w:r>
          </w:p>
          <w:p w14:paraId="474047C0" w14:textId="77777777" w:rsidR="00194FF1" w:rsidRPr="00483085" w:rsidRDefault="00194FF1" w:rsidP="00027EEC">
            <w:pPr>
              <w:widowControl w:val="0"/>
              <w:autoSpaceDE w:val="0"/>
              <w:autoSpaceDN w:val="0"/>
              <w:spacing w:before="1" w:after="0" w:line="255" w:lineRule="exact"/>
              <w:ind w:left="196"/>
              <w:rPr>
                <w:rFonts w:ascii="Arial" w:eastAsia="Arial" w:hAnsi="Arial" w:cs="Arial"/>
                <w:sz w:val="24"/>
                <w:lang w:eastAsia="en-GB" w:bidi="en-GB"/>
              </w:rPr>
            </w:pPr>
            <w:r w:rsidRPr="00483085">
              <w:rPr>
                <w:rFonts w:ascii="Arial" w:eastAsia="Arial" w:hAnsi="Arial" w:cs="Arial"/>
                <w:color w:val="221F1F"/>
                <w:sz w:val="24"/>
                <w:lang w:eastAsia="en-GB" w:bidi="en-GB"/>
              </w:rPr>
              <w:t>premises approval</w:t>
            </w:r>
          </w:p>
        </w:tc>
        <w:tc>
          <w:tcPr>
            <w:tcW w:w="1984" w:type="dxa"/>
            <w:tcBorders>
              <w:top w:val="nil"/>
            </w:tcBorders>
          </w:tcPr>
          <w:p w14:paraId="080D7169" w14:textId="77777777" w:rsidR="00194FF1" w:rsidRPr="00483085" w:rsidRDefault="00194FF1" w:rsidP="00027EEC">
            <w:pPr>
              <w:widowControl w:val="0"/>
              <w:autoSpaceDE w:val="0"/>
              <w:autoSpaceDN w:val="0"/>
              <w:spacing w:after="0" w:line="240" w:lineRule="auto"/>
              <w:rPr>
                <w:rFonts w:ascii="Times New Roman" w:eastAsia="Arial" w:hAnsi="Arial" w:cs="Arial"/>
                <w:sz w:val="24"/>
                <w:lang w:eastAsia="en-GB" w:bidi="en-GB"/>
              </w:rPr>
            </w:pPr>
          </w:p>
        </w:tc>
      </w:tr>
      <w:tr w:rsidR="00194FF1" w:rsidRPr="00483085" w14:paraId="3AB7A38E" w14:textId="77777777" w:rsidTr="001759E7">
        <w:trPr>
          <w:trHeight w:val="828"/>
        </w:trPr>
        <w:tc>
          <w:tcPr>
            <w:tcW w:w="6116" w:type="dxa"/>
            <w:gridSpan w:val="2"/>
          </w:tcPr>
          <w:p w14:paraId="3CBF5C7C" w14:textId="77777777" w:rsidR="00194FF1" w:rsidRPr="00483085" w:rsidRDefault="00194FF1" w:rsidP="00027EEC">
            <w:pPr>
              <w:widowControl w:val="0"/>
              <w:autoSpaceDE w:val="0"/>
              <w:autoSpaceDN w:val="0"/>
              <w:spacing w:before="1" w:after="0" w:line="270" w:lineRule="atLeast"/>
              <w:ind w:left="196" w:right="237"/>
              <w:rPr>
                <w:rFonts w:ascii="Arial" w:eastAsia="Arial" w:hAnsi="Arial" w:cs="Arial"/>
                <w:sz w:val="24"/>
                <w:lang w:eastAsia="en-GB" w:bidi="en-GB"/>
              </w:rPr>
            </w:pPr>
            <w:r w:rsidRPr="00483085">
              <w:rPr>
                <w:rFonts w:ascii="Arial" w:eastAsia="Arial" w:hAnsi="Arial" w:cs="Arial"/>
                <w:color w:val="221F1F"/>
                <w:sz w:val="24"/>
                <w:lang w:eastAsia="en-GB" w:bidi="en-GB"/>
              </w:rPr>
              <w:t>Regulation 61 – temporary arrangements during emergencies or circumstances beyond the control of a dispensing doctor</w:t>
            </w:r>
          </w:p>
        </w:tc>
        <w:tc>
          <w:tcPr>
            <w:tcW w:w="1984" w:type="dxa"/>
          </w:tcPr>
          <w:p w14:paraId="144BCB01" w14:textId="026A9FE9" w:rsidR="00194FF1" w:rsidRPr="00483085" w:rsidRDefault="00194FF1" w:rsidP="00027EEC">
            <w:pPr>
              <w:widowControl w:val="0"/>
              <w:autoSpaceDE w:val="0"/>
              <w:autoSpaceDN w:val="0"/>
              <w:spacing w:before="1" w:after="0" w:line="240" w:lineRule="auto"/>
              <w:ind w:left="157" w:right="268"/>
              <w:rPr>
                <w:rFonts w:ascii="Arial" w:eastAsia="Arial" w:hAnsi="Arial" w:cs="Arial"/>
                <w:sz w:val="24"/>
                <w:lang w:eastAsia="en-GB" w:bidi="en-GB"/>
              </w:rPr>
            </w:pPr>
            <w:r w:rsidRPr="00483085">
              <w:rPr>
                <w:rFonts w:ascii="Arial" w:eastAsia="Arial" w:hAnsi="Arial" w:cs="Arial"/>
                <w:color w:val="221F1F"/>
                <w:sz w:val="24"/>
                <w:lang w:eastAsia="en-GB" w:bidi="en-GB"/>
              </w:rPr>
              <w:t xml:space="preserve">Officer or </w:t>
            </w:r>
            <w:r w:rsidR="001759E7">
              <w:rPr>
                <w:rFonts w:ascii="Arial" w:eastAsia="Arial" w:hAnsi="Arial" w:cs="Arial"/>
                <w:color w:val="221F1F"/>
                <w:sz w:val="24"/>
                <w:lang w:eastAsia="en-GB" w:bidi="en-GB"/>
              </w:rPr>
              <w:t>Subc</w:t>
            </w:r>
            <w:r w:rsidR="001759E7" w:rsidRPr="00483085">
              <w:rPr>
                <w:rFonts w:ascii="Arial" w:eastAsia="Arial" w:hAnsi="Arial" w:cs="Arial"/>
                <w:color w:val="221F1F"/>
                <w:sz w:val="24"/>
                <w:lang w:eastAsia="en-GB" w:bidi="en-GB"/>
              </w:rPr>
              <w:t>ommittee</w:t>
            </w:r>
          </w:p>
        </w:tc>
      </w:tr>
      <w:tr w:rsidR="00194FF1" w:rsidRPr="00483085" w14:paraId="5000FCCB" w14:textId="77777777" w:rsidTr="001759E7">
        <w:trPr>
          <w:trHeight w:val="551"/>
        </w:trPr>
        <w:tc>
          <w:tcPr>
            <w:tcW w:w="6116" w:type="dxa"/>
            <w:gridSpan w:val="2"/>
          </w:tcPr>
          <w:p w14:paraId="320A4F49" w14:textId="77777777" w:rsidR="00194FF1" w:rsidRPr="00483085" w:rsidRDefault="00194FF1" w:rsidP="00027EEC">
            <w:pPr>
              <w:widowControl w:val="0"/>
              <w:autoSpaceDE w:val="0"/>
              <w:autoSpaceDN w:val="0"/>
              <w:spacing w:after="0" w:line="270" w:lineRule="atLeast"/>
              <w:ind w:left="196" w:right="650"/>
              <w:rPr>
                <w:rFonts w:ascii="Arial" w:eastAsia="Arial" w:hAnsi="Arial" w:cs="Arial"/>
                <w:sz w:val="24"/>
                <w:lang w:eastAsia="en-GB" w:bidi="en-GB"/>
              </w:rPr>
            </w:pPr>
            <w:r w:rsidRPr="00483085">
              <w:rPr>
                <w:rFonts w:ascii="Arial" w:eastAsia="Arial" w:hAnsi="Arial" w:cs="Arial"/>
                <w:color w:val="221F1F"/>
                <w:sz w:val="24"/>
                <w:lang w:eastAsia="en-GB" w:bidi="en-GB"/>
              </w:rPr>
              <w:t>Regulation 65(5) to (7) – direction to increase core opening hours</w:t>
            </w:r>
          </w:p>
        </w:tc>
        <w:tc>
          <w:tcPr>
            <w:tcW w:w="1984" w:type="dxa"/>
          </w:tcPr>
          <w:p w14:paraId="50906F0C" w14:textId="4936C798" w:rsidR="00194FF1" w:rsidRPr="00483085" w:rsidRDefault="00194FF1" w:rsidP="00027EEC">
            <w:pPr>
              <w:widowControl w:val="0"/>
              <w:autoSpaceDE w:val="0"/>
              <w:autoSpaceDN w:val="0"/>
              <w:spacing w:after="0" w:line="270" w:lineRule="atLeast"/>
              <w:ind w:left="157" w:right="268"/>
              <w:rPr>
                <w:rFonts w:ascii="Arial" w:eastAsia="Arial" w:hAnsi="Arial" w:cs="Arial"/>
                <w:sz w:val="24"/>
                <w:lang w:eastAsia="en-GB" w:bidi="en-GB"/>
              </w:rPr>
            </w:pPr>
            <w:r w:rsidRPr="00483085">
              <w:rPr>
                <w:rFonts w:ascii="Arial" w:eastAsia="Arial" w:hAnsi="Arial" w:cs="Arial"/>
                <w:color w:val="221F1F"/>
                <w:sz w:val="24"/>
                <w:lang w:eastAsia="en-GB" w:bidi="en-GB"/>
              </w:rPr>
              <w:t xml:space="preserve">Officer or </w:t>
            </w:r>
            <w:r w:rsidR="001759E7">
              <w:rPr>
                <w:rFonts w:ascii="Arial" w:eastAsia="Arial" w:hAnsi="Arial" w:cs="Arial"/>
                <w:color w:val="221F1F"/>
                <w:sz w:val="24"/>
                <w:lang w:eastAsia="en-GB" w:bidi="en-GB"/>
              </w:rPr>
              <w:t>Subc</w:t>
            </w:r>
            <w:r w:rsidR="001759E7" w:rsidRPr="00483085">
              <w:rPr>
                <w:rFonts w:ascii="Arial" w:eastAsia="Arial" w:hAnsi="Arial" w:cs="Arial"/>
                <w:color w:val="221F1F"/>
                <w:sz w:val="24"/>
                <w:lang w:eastAsia="en-GB" w:bidi="en-GB"/>
              </w:rPr>
              <w:t>ommittee</w:t>
            </w:r>
          </w:p>
        </w:tc>
      </w:tr>
      <w:tr w:rsidR="00194FF1" w:rsidRPr="00483085" w14:paraId="1039FB55" w14:textId="77777777" w:rsidTr="001759E7">
        <w:trPr>
          <w:trHeight w:val="551"/>
        </w:trPr>
        <w:tc>
          <w:tcPr>
            <w:tcW w:w="6116" w:type="dxa"/>
            <w:gridSpan w:val="2"/>
          </w:tcPr>
          <w:p w14:paraId="50EEE4FE" w14:textId="77777777" w:rsidR="00194FF1" w:rsidRPr="00483085" w:rsidRDefault="00194FF1" w:rsidP="00027EEC">
            <w:pPr>
              <w:widowControl w:val="0"/>
              <w:autoSpaceDE w:val="0"/>
              <w:autoSpaceDN w:val="0"/>
              <w:spacing w:before="4" w:after="0" w:line="276" w:lineRule="exact"/>
              <w:ind w:left="196" w:right="36"/>
              <w:rPr>
                <w:rFonts w:ascii="Arial" w:eastAsia="Arial" w:hAnsi="Arial" w:cs="Arial"/>
                <w:sz w:val="24"/>
                <w:lang w:eastAsia="en-GB" w:bidi="en-GB"/>
              </w:rPr>
            </w:pPr>
            <w:r w:rsidRPr="00483085">
              <w:rPr>
                <w:rFonts w:ascii="Arial" w:eastAsia="Arial" w:hAnsi="Arial" w:cs="Arial"/>
                <w:color w:val="221F1F"/>
                <w:sz w:val="24"/>
                <w:lang w:eastAsia="en-GB" w:bidi="en-GB"/>
              </w:rPr>
              <w:t>Regulation 67 – agreement of a shorter notice period for withdrawal from a pharmaceutical list</w:t>
            </w:r>
          </w:p>
        </w:tc>
        <w:tc>
          <w:tcPr>
            <w:tcW w:w="1984" w:type="dxa"/>
          </w:tcPr>
          <w:p w14:paraId="77D3B7AA" w14:textId="265832AF" w:rsidR="00194FF1" w:rsidRPr="00483085" w:rsidRDefault="001759E7" w:rsidP="00027EEC">
            <w:pPr>
              <w:widowControl w:val="0"/>
              <w:autoSpaceDE w:val="0"/>
              <w:autoSpaceDN w:val="0"/>
              <w:spacing w:after="0" w:line="276" w:lineRule="exact"/>
              <w:ind w:left="157"/>
              <w:rPr>
                <w:rFonts w:ascii="Arial" w:eastAsia="Arial" w:hAnsi="Arial" w:cs="Arial"/>
                <w:sz w:val="24"/>
                <w:lang w:eastAsia="en-GB" w:bidi="en-GB"/>
              </w:rPr>
            </w:pPr>
            <w:r>
              <w:rPr>
                <w:rFonts w:ascii="Arial" w:eastAsia="Arial" w:hAnsi="Arial" w:cs="Arial"/>
                <w:color w:val="221F1F"/>
                <w:sz w:val="24"/>
                <w:lang w:eastAsia="en-GB" w:bidi="en-GB"/>
              </w:rPr>
              <w:t>Subc</w:t>
            </w:r>
            <w:r w:rsidRPr="00483085">
              <w:rPr>
                <w:rFonts w:ascii="Arial" w:eastAsia="Arial" w:hAnsi="Arial" w:cs="Arial"/>
                <w:color w:val="221F1F"/>
                <w:sz w:val="24"/>
                <w:lang w:eastAsia="en-GB" w:bidi="en-GB"/>
              </w:rPr>
              <w:t>ommittee</w:t>
            </w:r>
          </w:p>
        </w:tc>
      </w:tr>
      <w:tr w:rsidR="001759E7" w:rsidRPr="00483085" w14:paraId="0E5BC7E7" w14:textId="77777777" w:rsidTr="001759E7">
        <w:trPr>
          <w:trHeight w:val="546"/>
        </w:trPr>
        <w:tc>
          <w:tcPr>
            <w:tcW w:w="6116" w:type="dxa"/>
            <w:gridSpan w:val="2"/>
          </w:tcPr>
          <w:p w14:paraId="1B6BA80D" w14:textId="77777777" w:rsidR="001759E7" w:rsidRPr="00483085" w:rsidRDefault="001759E7" w:rsidP="001759E7">
            <w:pPr>
              <w:widowControl w:val="0"/>
              <w:autoSpaceDE w:val="0"/>
              <w:autoSpaceDN w:val="0"/>
              <w:spacing w:after="0" w:line="271" w:lineRule="exact"/>
              <w:ind w:left="196"/>
              <w:rPr>
                <w:rFonts w:ascii="Arial" w:eastAsia="Arial" w:hAnsi="Arial" w:cs="Arial"/>
                <w:sz w:val="24"/>
                <w:lang w:eastAsia="en-GB" w:bidi="en-GB"/>
              </w:rPr>
            </w:pPr>
            <w:r w:rsidRPr="00483085">
              <w:rPr>
                <w:rFonts w:ascii="Arial" w:eastAsia="Arial" w:hAnsi="Arial" w:cs="Arial"/>
                <w:color w:val="221F1F"/>
                <w:sz w:val="24"/>
                <w:lang w:eastAsia="en-GB" w:bidi="en-GB"/>
              </w:rPr>
              <w:t>Regulation 69 – determination of whether there has</w:t>
            </w:r>
          </w:p>
          <w:p w14:paraId="0C1AA8BB" w14:textId="77777777" w:rsidR="001759E7" w:rsidRPr="00483085" w:rsidRDefault="001759E7" w:rsidP="001759E7">
            <w:pPr>
              <w:widowControl w:val="0"/>
              <w:autoSpaceDE w:val="0"/>
              <w:autoSpaceDN w:val="0"/>
              <w:spacing w:after="0" w:line="255" w:lineRule="exact"/>
              <w:ind w:left="196"/>
              <w:rPr>
                <w:rFonts w:ascii="Arial" w:eastAsia="Arial" w:hAnsi="Arial" w:cs="Arial"/>
                <w:sz w:val="24"/>
                <w:lang w:eastAsia="en-GB" w:bidi="en-GB"/>
              </w:rPr>
            </w:pPr>
            <w:r w:rsidRPr="00483085">
              <w:rPr>
                <w:rFonts w:ascii="Arial" w:eastAsia="Arial" w:hAnsi="Arial" w:cs="Arial"/>
                <w:color w:val="221F1F"/>
                <w:sz w:val="24"/>
                <w:lang w:eastAsia="en-GB" w:bidi="en-GB"/>
              </w:rPr>
              <w:t>been a breach of terms of service</w:t>
            </w:r>
          </w:p>
        </w:tc>
        <w:tc>
          <w:tcPr>
            <w:tcW w:w="1984" w:type="dxa"/>
          </w:tcPr>
          <w:p w14:paraId="75C7D5A3" w14:textId="0AFB7B6D" w:rsidR="001759E7" w:rsidRPr="00483085" w:rsidRDefault="001759E7" w:rsidP="001759E7">
            <w:pPr>
              <w:widowControl w:val="0"/>
              <w:autoSpaceDE w:val="0"/>
              <w:autoSpaceDN w:val="0"/>
              <w:spacing w:after="0" w:line="271" w:lineRule="exact"/>
              <w:ind w:left="157"/>
              <w:rPr>
                <w:rFonts w:ascii="Arial" w:eastAsia="Arial" w:hAnsi="Arial" w:cs="Arial"/>
                <w:sz w:val="24"/>
                <w:lang w:eastAsia="en-GB" w:bidi="en-GB"/>
              </w:rPr>
            </w:pPr>
            <w:r w:rsidRPr="006D50AC">
              <w:rPr>
                <w:rFonts w:ascii="Arial" w:eastAsia="Arial" w:hAnsi="Arial" w:cs="Arial"/>
                <w:color w:val="221F1F"/>
                <w:sz w:val="24"/>
                <w:lang w:eastAsia="en-GB" w:bidi="en-GB"/>
              </w:rPr>
              <w:t>Subcommittee</w:t>
            </w:r>
          </w:p>
        </w:tc>
      </w:tr>
      <w:tr w:rsidR="001759E7" w:rsidRPr="00483085" w14:paraId="5E7D9A33" w14:textId="77777777" w:rsidTr="001759E7">
        <w:trPr>
          <w:trHeight w:val="1380"/>
        </w:trPr>
        <w:tc>
          <w:tcPr>
            <w:tcW w:w="6116" w:type="dxa"/>
            <w:gridSpan w:val="2"/>
          </w:tcPr>
          <w:p w14:paraId="72109BCB" w14:textId="77777777" w:rsidR="001759E7" w:rsidRPr="00483085" w:rsidRDefault="001759E7" w:rsidP="001759E7">
            <w:pPr>
              <w:widowControl w:val="0"/>
              <w:autoSpaceDE w:val="0"/>
              <w:autoSpaceDN w:val="0"/>
              <w:spacing w:before="1" w:after="0" w:line="270" w:lineRule="atLeast"/>
              <w:ind w:left="196" w:right="183"/>
              <w:rPr>
                <w:rFonts w:ascii="Arial" w:eastAsia="Arial" w:hAnsi="Arial" w:cs="Arial"/>
                <w:sz w:val="24"/>
                <w:lang w:eastAsia="en-GB" w:bidi="en-GB"/>
              </w:rPr>
            </w:pPr>
            <w:r w:rsidRPr="00483085">
              <w:rPr>
                <w:rFonts w:ascii="Arial" w:eastAsia="Arial" w:hAnsi="Arial" w:cs="Arial"/>
                <w:color w:val="221F1F"/>
                <w:sz w:val="24"/>
                <w:lang w:eastAsia="en-GB" w:bidi="en-GB"/>
              </w:rPr>
              <w:t>Regulation 70 – determination of whether to issue a breach notice with or without an accompanying withholding of payments in connection with a breach of terms of service. Determination of whether to rescind a breach notice</w:t>
            </w:r>
          </w:p>
        </w:tc>
        <w:tc>
          <w:tcPr>
            <w:tcW w:w="1984" w:type="dxa"/>
          </w:tcPr>
          <w:p w14:paraId="0235A167" w14:textId="549BA6E6" w:rsidR="001759E7" w:rsidRPr="00483085" w:rsidRDefault="001759E7" w:rsidP="001759E7">
            <w:pPr>
              <w:widowControl w:val="0"/>
              <w:autoSpaceDE w:val="0"/>
              <w:autoSpaceDN w:val="0"/>
              <w:spacing w:before="1" w:after="0" w:line="240" w:lineRule="auto"/>
              <w:ind w:left="157"/>
              <w:rPr>
                <w:rFonts w:ascii="Arial" w:eastAsia="Arial" w:hAnsi="Arial" w:cs="Arial"/>
                <w:sz w:val="24"/>
                <w:lang w:eastAsia="en-GB" w:bidi="en-GB"/>
              </w:rPr>
            </w:pPr>
            <w:r w:rsidRPr="006D50AC">
              <w:rPr>
                <w:rFonts w:ascii="Arial" w:eastAsia="Arial" w:hAnsi="Arial" w:cs="Arial"/>
                <w:color w:val="221F1F"/>
                <w:sz w:val="24"/>
                <w:lang w:eastAsia="en-GB" w:bidi="en-GB"/>
              </w:rPr>
              <w:t>Subcommittee</w:t>
            </w:r>
          </w:p>
        </w:tc>
      </w:tr>
      <w:tr w:rsidR="001759E7" w:rsidRPr="00483085" w14:paraId="6215EBF5" w14:textId="77777777" w:rsidTr="001759E7">
        <w:trPr>
          <w:trHeight w:val="1379"/>
        </w:trPr>
        <w:tc>
          <w:tcPr>
            <w:tcW w:w="6116" w:type="dxa"/>
            <w:gridSpan w:val="2"/>
          </w:tcPr>
          <w:p w14:paraId="13916FB3" w14:textId="77777777" w:rsidR="001759E7" w:rsidRPr="00483085" w:rsidRDefault="001759E7" w:rsidP="001759E7">
            <w:pPr>
              <w:widowControl w:val="0"/>
              <w:autoSpaceDE w:val="0"/>
              <w:autoSpaceDN w:val="0"/>
              <w:spacing w:after="0" w:line="270" w:lineRule="atLeast"/>
              <w:ind w:left="196" w:right="183"/>
              <w:rPr>
                <w:rFonts w:ascii="Arial" w:eastAsia="Arial" w:hAnsi="Arial" w:cs="Arial"/>
                <w:sz w:val="24"/>
                <w:lang w:eastAsia="en-GB" w:bidi="en-GB"/>
              </w:rPr>
            </w:pPr>
            <w:r w:rsidRPr="00483085">
              <w:rPr>
                <w:rFonts w:ascii="Arial" w:eastAsia="Arial" w:hAnsi="Arial" w:cs="Arial"/>
                <w:color w:val="221F1F"/>
                <w:sz w:val="24"/>
                <w:lang w:eastAsia="en-GB" w:bidi="en-GB"/>
              </w:rPr>
              <w:t>Regulation 71 – determination of whether to issue a remedial notice with or without an accompanying withholding of payments in connection with a breach of terms of service. Determination of whether to rescind a remedial notice</w:t>
            </w:r>
          </w:p>
        </w:tc>
        <w:tc>
          <w:tcPr>
            <w:tcW w:w="1984" w:type="dxa"/>
          </w:tcPr>
          <w:p w14:paraId="4D76CFFD" w14:textId="3315B75D" w:rsidR="001759E7" w:rsidRPr="00483085" w:rsidRDefault="001759E7" w:rsidP="001759E7">
            <w:pPr>
              <w:widowControl w:val="0"/>
              <w:autoSpaceDE w:val="0"/>
              <w:autoSpaceDN w:val="0"/>
              <w:spacing w:after="0" w:line="240" w:lineRule="auto"/>
              <w:ind w:left="157"/>
              <w:rPr>
                <w:rFonts w:ascii="Arial" w:eastAsia="Arial" w:hAnsi="Arial" w:cs="Arial"/>
                <w:sz w:val="24"/>
                <w:lang w:eastAsia="en-GB" w:bidi="en-GB"/>
              </w:rPr>
            </w:pPr>
            <w:r w:rsidRPr="006D50AC">
              <w:rPr>
                <w:rFonts w:ascii="Arial" w:eastAsia="Arial" w:hAnsi="Arial" w:cs="Arial"/>
                <w:color w:val="221F1F"/>
                <w:sz w:val="24"/>
                <w:lang w:eastAsia="en-GB" w:bidi="en-GB"/>
              </w:rPr>
              <w:t>Subcommittee</w:t>
            </w:r>
          </w:p>
        </w:tc>
      </w:tr>
      <w:tr w:rsidR="001759E7" w:rsidRPr="00483085" w14:paraId="6EB3F039" w14:textId="77777777" w:rsidTr="001759E7">
        <w:trPr>
          <w:trHeight w:val="552"/>
        </w:trPr>
        <w:tc>
          <w:tcPr>
            <w:tcW w:w="6116" w:type="dxa"/>
            <w:gridSpan w:val="2"/>
          </w:tcPr>
          <w:p w14:paraId="7E0A080B" w14:textId="77777777" w:rsidR="001759E7" w:rsidRPr="00483085" w:rsidRDefault="001759E7" w:rsidP="001759E7">
            <w:pPr>
              <w:widowControl w:val="0"/>
              <w:autoSpaceDE w:val="0"/>
              <w:autoSpaceDN w:val="0"/>
              <w:spacing w:after="0" w:line="270" w:lineRule="atLeast"/>
              <w:ind w:left="196" w:right="396"/>
              <w:rPr>
                <w:rFonts w:ascii="Arial" w:eastAsia="Arial" w:hAnsi="Arial" w:cs="Arial"/>
                <w:sz w:val="24"/>
                <w:lang w:eastAsia="en-GB" w:bidi="en-GB"/>
              </w:rPr>
            </w:pPr>
            <w:r w:rsidRPr="00483085">
              <w:rPr>
                <w:rFonts w:ascii="Arial" w:eastAsia="Arial" w:hAnsi="Arial" w:cs="Arial"/>
                <w:color w:val="221F1F"/>
                <w:sz w:val="24"/>
                <w:lang w:eastAsia="en-GB" w:bidi="en-GB"/>
              </w:rPr>
              <w:t>Regulation 72 – determination of whether to withhold remuneration</w:t>
            </w:r>
          </w:p>
        </w:tc>
        <w:tc>
          <w:tcPr>
            <w:tcW w:w="1984" w:type="dxa"/>
          </w:tcPr>
          <w:p w14:paraId="61E3795E" w14:textId="1AD20051" w:rsidR="001759E7" w:rsidRPr="00483085" w:rsidRDefault="001759E7" w:rsidP="001759E7">
            <w:pPr>
              <w:widowControl w:val="0"/>
              <w:autoSpaceDE w:val="0"/>
              <w:autoSpaceDN w:val="0"/>
              <w:spacing w:after="0" w:line="240" w:lineRule="auto"/>
              <w:ind w:left="157"/>
              <w:rPr>
                <w:rFonts w:ascii="Arial" w:eastAsia="Arial" w:hAnsi="Arial" w:cs="Arial"/>
                <w:sz w:val="24"/>
                <w:lang w:eastAsia="en-GB" w:bidi="en-GB"/>
              </w:rPr>
            </w:pPr>
            <w:r w:rsidRPr="006D50AC">
              <w:rPr>
                <w:rFonts w:ascii="Arial" w:eastAsia="Arial" w:hAnsi="Arial" w:cs="Arial"/>
                <w:color w:val="221F1F"/>
                <w:sz w:val="24"/>
                <w:lang w:eastAsia="en-GB" w:bidi="en-GB"/>
              </w:rPr>
              <w:t>Subcommittee</w:t>
            </w:r>
          </w:p>
        </w:tc>
      </w:tr>
      <w:tr w:rsidR="001759E7" w:rsidRPr="00483085" w14:paraId="11D45AF6" w14:textId="77777777" w:rsidTr="001759E7">
        <w:trPr>
          <w:trHeight w:val="827"/>
        </w:trPr>
        <w:tc>
          <w:tcPr>
            <w:tcW w:w="6116" w:type="dxa"/>
            <w:gridSpan w:val="2"/>
          </w:tcPr>
          <w:p w14:paraId="0813BC30" w14:textId="77777777" w:rsidR="001759E7" w:rsidRPr="00483085" w:rsidRDefault="001759E7" w:rsidP="001759E7">
            <w:pPr>
              <w:widowControl w:val="0"/>
              <w:autoSpaceDE w:val="0"/>
              <w:autoSpaceDN w:val="0"/>
              <w:spacing w:after="0" w:line="270" w:lineRule="atLeast"/>
              <w:ind w:left="196" w:right="476"/>
              <w:rPr>
                <w:rFonts w:ascii="Arial" w:eastAsia="Arial" w:hAnsi="Arial" w:cs="Arial"/>
                <w:sz w:val="24"/>
                <w:lang w:eastAsia="en-GB" w:bidi="en-GB"/>
              </w:rPr>
            </w:pPr>
            <w:r w:rsidRPr="00483085">
              <w:rPr>
                <w:rFonts w:ascii="Arial" w:eastAsia="Arial" w:hAnsi="Arial" w:cs="Arial"/>
                <w:color w:val="221F1F"/>
                <w:sz w:val="24"/>
                <w:lang w:eastAsia="en-GB" w:bidi="en-GB"/>
              </w:rPr>
              <w:t>Regulation 73 – determination of whether to remove premises or a chemist from the pharmaceutical list (following remedial or breach notice)</w:t>
            </w:r>
          </w:p>
        </w:tc>
        <w:tc>
          <w:tcPr>
            <w:tcW w:w="1984" w:type="dxa"/>
          </w:tcPr>
          <w:p w14:paraId="78272C1D" w14:textId="3E4251EA" w:rsidR="001759E7" w:rsidRPr="00483085" w:rsidRDefault="001759E7" w:rsidP="001759E7">
            <w:pPr>
              <w:widowControl w:val="0"/>
              <w:autoSpaceDE w:val="0"/>
              <w:autoSpaceDN w:val="0"/>
              <w:spacing w:after="0" w:line="240" w:lineRule="auto"/>
              <w:ind w:left="157"/>
              <w:rPr>
                <w:rFonts w:ascii="Arial" w:eastAsia="Arial" w:hAnsi="Arial" w:cs="Arial"/>
                <w:sz w:val="24"/>
                <w:lang w:eastAsia="en-GB" w:bidi="en-GB"/>
              </w:rPr>
            </w:pPr>
            <w:r w:rsidRPr="006D50AC">
              <w:rPr>
                <w:rFonts w:ascii="Arial" w:eastAsia="Arial" w:hAnsi="Arial" w:cs="Arial"/>
                <w:color w:val="221F1F"/>
                <w:sz w:val="24"/>
                <w:lang w:eastAsia="en-GB" w:bidi="en-GB"/>
              </w:rPr>
              <w:t>Subcommittee</w:t>
            </w:r>
          </w:p>
        </w:tc>
      </w:tr>
      <w:tr w:rsidR="001759E7" w:rsidRPr="00483085" w14:paraId="33985FE7" w14:textId="77777777" w:rsidTr="001759E7">
        <w:trPr>
          <w:trHeight w:val="827"/>
        </w:trPr>
        <w:tc>
          <w:tcPr>
            <w:tcW w:w="6116" w:type="dxa"/>
            <w:gridSpan w:val="2"/>
          </w:tcPr>
          <w:p w14:paraId="1AB23DC0" w14:textId="77777777" w:rsidR="001759E7" w:rsidRPr="00483085" w:rsidRDefault="001759E7" w:rsidP="001759E7">
            <w:pPr>
              <w:widowControl w:val="0"/>
              <w:autoSpaceDE w:val="0"/>
              <w:autoSpaceDN w:val="0"/>
              <w:spacing w:before="1" w:after="0" w:line="270" w:lineRule="atLeast"/>
              <w:ind w:left="196" w:right="476"/>
              <w:rPr>
                <w:rFonts w:ascii="Arial" w:eastAsia="Arial" w:hAnsi="Arial" w:cs="Arial"/>
                <w:sz w:val="24"/>
                <w:lang w:eastAsia="en-GB" w:bidi="en-GB"/>
              </w:rPr>
            </w:pPr>
            <w:r w:rsidRPr="00483085">
              <w:rPr>
                <w:rFonts w:ascii="Arial" w:eastAsia="Arial" w:hAnsi="Arial" w:cs="Arial"/>
                <w:color w:val="221F1F"/>
                <w:sz w:val="24"/>
                <w:lang w:eastAsia="en-GB" w:bidi="en-GB"/>
              </w:rPr>
              <w:t>Regulation 74 – determination of whether to remove premises or a chemist from the pharmaceutical list (death, incapacity or cessation of service)</w:t>
            </w:r>
          </w:p>
        </w:tc>
        <w:tc>
          <w:tcPr>
            <w:tcW w:w="1984" w:type="dxa"/>
          </w:tcPr>
          <w:p w14:paraId="42F7B2EF" w14:textId="5F2FF181" w:rsidR="001759E7" w:rsidRPr="00483085" w:rsidRDefault="001759E7" w:rsidP="001759E7">
            <w:pPr>
              <w:widowControl w:val="0"/>
              <w:autoSpaceDE w:val="0"/>
              <w:autoSpaceDN w:val="0"/>
              <w:spacing w:before="1" w:after="0" w:line="240" w:lineRule="auto"/>
              <w:ind w:left="157"/>
              <w:rPr>
                <w:rFonts w:ascii="Arial" w:eastAsia="Arial" w:hAnsi="Arial" w:cs="Arial"/>
                <w:sz w:val="24"/>
                <w:lang w:eastAsia="en-GB" w:bidi="en-GB"/>
              </w:rPr>
            </w:pPr>
            <w:r w:rsidRPr="006D50AC">
              <w:rPr>
                <w:rFonts w:ascii="Arial" w:eastAsia="Arial" w:hAnsi="Arial" w:cs="Arial"/>
                <w:color w:val="221F1F"/>
                <w:sz w:val="24"/>
                <w:lang w:eastAsia="en-GB" w:bidi="en-GB"/>
              </w:rPr>
              <w:t>Subcommittee</w:t>
            </w:r>
          </w:p>
        </w:tc>
      </w:tr>
      <w:tr w:rsidR="00194FF1" w:rsidRPr="00483085" w14:paraId="0920B16A" w14:textId="77777777" w:rsidTr="001759E7">
        <w:trPr>
          <w:trHeight w:val="826"/>
        </w:trPr>
        <w:tc>
          <w:tcPr>
            <w:tcW w:w="6116" w:type="dxa"/>
            <w:gridSpan w:val="2"/>
          </w:tcPr>
          <w:p w14:paraId="77A3FC07" w14:textId="77777777" w:rsidR="00194FF1" w:rsidRPr="00483085" w:rsidRDefault="00194FF1" w:rsidP="00027EEC">
            <w:pPr>
              <w:widowControl w:val="0"/>
              <w:autoSpaceDE w:val="0"/>
              <w:autoSpaceDN w:val="0"/>
              <w:spacing w:before="4" w:after="0" w:line="276" w:lineRule="exact"/>
              <w:ind w:left="196" w:right="743"/>
              <w:rPr>
                <w:rFonts w:ascii="Arial" w:eastAsia="Arial" w:hAnsi="Arial" w:cs="Arial"/>
                <w:sz w:val="24"/>
                <w:lang w:eastAsia="en-GB" w:bidi="en-GB"/>
              </w:rPr>
            </w:pPr>
            <w:r w:rsidRPr="00483085">
              <w:rPr>
                <w:rFonts w:ascii="Arial" w:eastAsia="Arial" w:hAnsi="Arial" w:cs="Arial"/>
                <w:color w:val="221F1F"/>
                <w:sz w:val="24"/>
                <w:lang w:eastAsia="en-GB" w:bidi="en-GB"/>
              </w:rPr>
              <w:t>Regulation 79 – determination of review of fitness conditions originally imposed on the grant of an application</w:t>
            </w:r>
          </w:p>
        </w:tc>
        <w:tc>
          <w:tcPr>
            <w:tcW w:w="1984" w:type="dxa"/>
          </w:tcPr>
          <w:p w14:paraId="690893F3" w14:textId="1E7155DC" w:rsidR="00194FF1" w:rsidRPr="00483085" w:rsidRDefault="001759E7" w:rsidP="00027EEC">
            <w:pPr>
              <w:widowControl w:val="0"/>
              <w:autoSpaceDE w:val="0"/>
              <w:autoSpaceDN w:val="0"/>
              <w:spacing w:after="0" w:line="240" w:lineRule="auto"/>
              <w:ind w:left="157" w:right="214"/>
              <w:rPr>
                <w:rFonts w:ascii="Arial" w:eastAsia="Arial" w:hAnsi="Arial" w:cs="Arial"/>
                <w:sz w:val="24"/>
                <w:lang w:eastAsia="en-GB" w:bidi="en-GB"/>
              </w:rPr>
            </w:pPr>
            <w:r>
              <w:rPr>
                <w:rFonts w:ascii="Arial" w:eastAsia="Arial" w:hAnsi="Arial" w:cs="Arial"/>
                <w:color w:val="221F1F"/>
                <w:sz w:val="24"/>
                <w:lang w:eastAsia="en-GB" w:bidi="en-GB"/>
              </w:rPr>
              <w:t>Subc</w:t>
            </w:r>
            <w:r w:rsidRPr="00483085">
              <w:rPr>
                <w:rFonts w:ascii="Arial" w:eastAsia="Arial" w:hAnsi="Arial" w:cs="Arial"/>
                <w:color w:val="221F1F"/>
                <w:sz w:val="24"/>
                <w:lang w:eastAsia="en-GB" w:bidi="en-GB"/>
              </w:rPr>
              <w:t xml:space="preserve">ommittee </w:t>
            </w:r>
            <w:r w:rsidR="00194FF1" w:rsidRPr="00483085">
              <w:rPr>
                <w:rFonts w:ascii="Arial" w:eastAsia="Arial" w:hAnsi="Arial" w:cs="Arial"/>
                <w:color w:val="221F1F"/>
                <w:sz w:val="24"/>
                <w:lang w:eastAsia="en-GB" w:bidi="en-GB"/>
              </w:rPr>
              <w:t>or PLDP</w:t>
            </w:r>
          </w:p>
        </w:tc>
      </w:tr>
      <w:tr w:rsidR="00194FF1" w:rsidRPr="00483085" w14:paraId="7C365BEA" w14:textId="77777777" w:rsidTr="001759E7">
        <w:trPr>
          <w:trHeight w:val="546"/>
        </w:trPr>
        <w:tc>
          <w:tcPr>
            <w:tcW w:w="6116" w:type="dxa"/>
            <w:gridSpan w:val="2"/>
          </w:tcPr>
          <w:p w14:paraId="4642E4B5" w14:textId="77777777" w:rsidR="00194FF1" w:rsidRPr="00483085" w:rsidRDefault="00194FF1" w:rsidP="00027EEC">
            <w:pPr>
              <w:widowControl w:val="0"/>
              <w:autoSpaceDE w:val="0"/>
              <w:autoSpaceDN w:val="0"/>
              <w:spacing w:after="0" w:line="271" w:lineRule="exact"/>
              <w:ind w:left="196"/>
              <w:rPr>
                <w:rFonts w:ascii="Arial" w:eastAsia="Arial" w:hAnsi="Arial" w:cs="Arial"/>
                <w:sz w:val="24"/>
                <w:lang w:eastAsia="en-GB" w:bidi="en-GB"/>
              </w:rPr>
            </w:pPr>
            <w:r w:rsidRPr="00483085">
              <w:rPr>
                <w:rFonts w:ascii="Arial" w:eastAsia="Arial" w:hAnsi="Arial" w:cs="Arial"/>
                <w:color w:val="221F1F"/>
                <w:sz w:val="24"/>
                <w:lang w:eastAsia="en-GB" w:bidi="en-GB"/>
              </w:rPr>
              <w:t>Regulation 80 – determination of removal of a contractor</w:t>
            </w:r>
          </w:p>
          <w:p w14:paraId="0F4CCC3F" w14:textId="77777777" w:rsidR="00194FF1" w:rsidRPr="00483085" w:rsidRDefault="00194FF1" w:rsidP="00027EEC">
            <w:pPr>
              <w:widowControl w:val="0"/>
              <w:autoSpaceDE w:val="0"/>
              <w:autoSpaceDN w:val="0"/>
              <w:spacing w:after="0" w:line="255" w:lineRule="exact"/>
              <w:ind w:left="196"/>
              <w:rPr>
                <w:rFonts w:ascii="Arial" w:eastAsia="Arial" w:hAnsi="Arial" w:cs="Arial"/>
                <w:sz w:val="24"/>
                <w:lang w:eastAsia="en-GB" w:bidi="en-GB"/>
              </w:rPr>
            </w:pPr>
            <w:r w:rsidRPr="00483085">
              <w:rPr>
                <w:rFonts w:ascii="Arial" w:eastAsia="Arial" w:hAnsi="Arial" w:cs="Arial"/>
                <w:color w:val="221F1F"/>
                <w:sz w:val="24"/>
                <w:lang w:eastAsia="en-GB" w:bidi="en-GB"/>
              </w:rPr>
              <w:t>for breach of fitness conditions</w:t>
            </w:r>
          </w:p>
        </w:tc>
        <w:tc>
          <w:tcPr>
            <w:tcW w:w="1984" w:type="dxa"/>
          </w:tcPr>
          <w:p w14:paraId="285FBF30" w14:textId="437DEC70" w:rsidR="00194FF1" w:rsidRPr="00483085" w:rsidRDefault="001759E7" w:rsidP="00027EEC">
            <w:pPr>
              <w:widowControl w:val="0"/>
              <w:autoSpaceDE w:val="0"/>
              <w:autoSpaceDN w:val="0"/>
              <w:spacing w:after="0" w:line="255" w:lineRule="exact"/>
              <w:ind w:left="157"/>
              <w:rPr>
                <w:rFonts w:ascii="Arial" w:eastAsia="Arial" w:hAnsi="Arial" w:cs="Arial"/>
                <w:sz w:val="24"/>
                <w:lang w:eastAsia="en-GB" w:bidi="en-GB"/>
              </w:rPr>
            </w:pPr>
            <w:r>
              <w:rPr>
                <w:rFonts w:ascii="Arial" w:eastAsia="Arial" w:hAnsi="Arial" w:cs="Arial"/>
                <w:color w:val="221F1F"/>
                <w:sz w:val="24"/>
                <w:lang w:eastAsia="en-GB" w:bidi="en-GB"/>
              </w:rPr>
              <w:t>Subc</w:t>
            </w:r>
            <w:r w:rsidRPr="00483085">
              <w:rPr>
                <w:rFonts w:ascii="Arial" w:eastAsia="Arial" w:hAnsi="Arial" w:cs="Arial"/>
                <w:color w:val="221F1F"/>
                <w:sz w:val="24"/>
                <w:lang w:eastAsia="en-GB" w:bidi="en-GB"/>
              </w:rPr>
              <w:t xml:space="preserve">ommittee </w:t>
            </w:r>
            <w:r w:rsidR="00194FF1" w:rsidRPr="00483085">
              <w:rPr>
                <w:rFonts w:ascii="Arial" w:eastAsia="Arial" w:hAnsi="Arial" w:cs="Arial"/>
                <w:color w:val="221F1F"/>
                <w:sz w:val="24"/>
                <w:lang w:eastAsia="en-GB" w:bidi="en-GB"/>
              </w:rPr>
              <w:t>or PLDP</w:t>
            </w:r>
          </w:p>
        </w:tc>
      </w:tr>
      <w:tr w:rsidR="00194FF1" w:rsidRPr="00483085" w14:paraId="59E3F92E" w14:textId="77777777" w:rsidTr="001759E7">
        <w:trPr>
          <w:trHeight w:val="552"/>
        </w:trPr>
        <w:tc>
          <w:tcPr>
            <w:tcW w:w="6116" w:type="dxa"/>
            <w:gridSpan w:val="2"/>
          </w:tcPr>
          <w:p w14:paraId="4C712B26" w14:textId="77777777" w:rsidR="00194FF1" w:rsidRPr="00483085" w:rsidRDefault="00194FF1" w:rsidP="00027EEC">
            <w:pPr>
              <w:widowControl w:val="0"/>
              <w:autoSpaceDE w:val="0"/>
              <w:autoSpaceDN w:val="0"/>
              <w:spacing w:before="1" w:after="0" w:line="270" w:lineRule="atLeast"/>
              <w:ind w:left="196" w:right="529"/>
              <w:rPr>
                <w:rFonts w:ascii="Arial" w:eastAsia="Arial" w:hAnsi="Arial" w:cs="Arial"/>
                <w:sz w:val="24"/>
                <w:lang w:eastAsia="en-GB" w:bidi="en-GB"/>
              </w:rPr>
            </w:pPr>
            <w:r w:rsidRPr="00483085">
              <w:rPr>
                <w:rFonts w:ascii="Arial" w:eastAsia="Arial" w:hAnsi="Arial" w:cs="Arial"/>
                <w:color w:val="221F1F"/>
                <w:sz w:val="24"/>
                <w:lang w:eastAsia="en-GB" w:bidi="en-GB"/>
              </w:rPr>
              <w:t>Regulation 81 and 82 – determination of removal or contingent removal</w:t>
            </w:r>
          </w:p>
        </w:tc>
        <w:tc>
          <w:tcPr>
            <w:tcW w:w="1984" w:type="dxa"/>
          </w:tcPr>
          <w:p w14:paraId="2C91367C" w14:textId="6341FBC4" w:rsidR="00194FF1" w:rsidRPr="00483085" w:rsidRDefault="001759E7" w:rsidP="00027EEC">
            <w:pPr>
              <w:widowControl w:val="0"/>
              <w:autoSpaceDE w:val="0"/>
              <w:autoSpaceDN w:val="0"/>
              <w:spacing w:before="1" w:after="0" w:line="270" w:lineRule="atLeast"/>
              <w:ind w:left="157" w:right="214"/>
              <w:rPr>
                <w:rFonts w:ascii="Arial" w:eastAsia="Arial" w:hAnsi="Arial" w:cs="Arial"/>
                <w:sz w:val="24"/>
                <w:lang w:eastAsia="en-GB" w:bidi="en-GB"/>
              </w:rPr>
            </w:pPr>
            <w:r>
              <w:rPr>
                <w:rFonts w:ascii="Arial" w:eastAsia="Arial" w:hAnsi="Arial" w:cs="Arial"/>
                <w:color w:val="221F1F"/>
                <w:sz w:val="24"/>
                <w:lang w:eastAsia="en-GB" w:bidi="en-GB"/>
              </w:rPr>
              <w:t>Subc</w:t>
            </w:r>
            <w:r w:rsidRPr="00483085">
              <w:rPr>
                <w:rFonts w:ascii="Arial" w:eastAsia="Arial" w:hAnsi="Arial" w:cs="Arial"/>
                <w:color w:val="221F1F"/>
                <w:sz w:val="24"/>
                <w:lang w:eastAsia="en-GB" w:bidi="en-GB"/>
              </w:rPr>
              <w:t>ommittee</w:t>
            </w:r>
            <w:r w:rsidR="00194FF1" w:rsidRPr="00483085">
              <w:rPr>
                <w:rFonts w:ascii="Arial" w:eastAsia="Arial" w:hAnsi="Arial" w:cs="Arial"/>
                <w:color w:val="221F1F"/>
                <w:sz w:val="24"/>
                <w:lang w:eastAsia="en-GB" w:bidi="en-GB"/>
              </w:rPr>
              <w:t xml:space="preserve"> or PLDP</w:t>
            </w:r>
          </w:p>
        </w:tc>
      </w:tr>
      <w:tr w:rsidR="00194FF1" w:rsidRPr="00483085" w14:paraId="21656EB5" w14:textId="77777777" w:rsidTr="001759E7">
        <w:trPr>
          <w:trHeight w:val="551"/>
        </w:trPr>
        <w:tc>
          <w:tcPr>
            <w:tcW w:w="6116" w:type="dxa"/>
            <w:gridSpan w:val="2"/>
          </w:tcPr>
          <w:p w14:paraId="19DB3427" w14:textId="77777777" w:rsidR="00194FF1" w:rsidRPr="00483085" w:rsidRDefault="00194FF1" w:rsidP="00027EEC">
            <w:pPr>
              <w:widowControl w:val="0"/>
              <w:autoSpaceDE w:val="0"/>
              <w:autoSpaceDN w:val="0"/>
              <w:spacing w:after="0" w:line="240" w:lineRule="auto"/>
              <w:ind w:left="196"/>
              <w:rPr>
                <w:rFonts w:ascii="Arial" w:eastAsia="Arial" w:hAnsi="Arial" w:cs="Arial"/>
                <w:sz w:val="24"/>
                <w:lang w:eastAsia="en-GB" w:bidi="en-GB"/>
              </w:rPr>
            </w:pPr>
            <w:r w:rsidRPr="00483085">
              <w:rPr>
                <w:rFonts w:ascii="Arial" w:eastAsia="Arial" w:hAnsi="Arial" w:cs="Arial"/>
                <w:color w:val="221F1F"/>
                <w:sz w:val="24"/>
                <w:lang w:eastAsia="en-GB" w:bidi="en-GB"/>
              </w:rPr>
              <w:t>Regulation 83 – suspensions in fitness cases</w:t>
            </w:r>
          </w:p>
        </w:tc>
        <w:tc>
          <w:tcPr>
            <w:tcW w:w="1984" w:type="dxa"/>
          </w:tcPr>
          <w:p w14:paraId="096C78DD" w14:textId="59289B94" w:rsidR="00194FF1" w:rsidRPr="00483085" w:rsidRDefault="0011117F" w:rsidP="00027EEC">
            <w:pPr>
              <w:widowControl w:val="0"/>
              <w:autoSpaceDE w:val="0"/>
              <w:autoSpaceDN w:val="0"/>
              <w:spacing w:after="0" w:line="270" w:lineRule="atLeast"/>
              <w:ind w:left="157" w:right="214"/>
              <w:rPr>
                <w:rFonts w:ascii="Arial" w:eastAsia="Arial" w:hAnsi="Arial" w:cs="Arial"/>
                <w:sz w:val="24"/>
                <w:lang w:eastAsia="en-GB" w:bidi="en-GB"/>
              </w:rPr>
            </w:pPr>
            <w:r>
              <w:rPr>
                <w:rFonts w:ascii="Arial" w:eastAsia="Arial" w:hAnsi="Arial" w:cs="Arial"/>
                <w:color w:val="221F1F"/>
                <w:sz w:val="24"/>
                <w:lang w:eastAsia="en-GB" w:bidi="en-GB"/>
              </w:rPr>
              <w:t>Sub</w:t>
            </w:r>
            <w:r w:rsidR="004019CC">
              <w:rPr>
                <w:rFonts w:ascii="Arial" w:eastAsia="Arial" w:hAnsi="Arial" w:cs="Arial"/>
                <w:color w:val="221F1F"/>
                <w:sz w:val="24"/>
                <w:lang w:eastAsia="en-GB" w:bidi="en-GB"/>
              </w:rPr>
              <w:t>c</w:t>
            </w:r>
            <w:r w:rsidR="00194FF1" w:rsidRPr="00483085">
              <w:rPr>
                <w:rFonts w:ascii="Arial" w:eastAsia="Arial" w:hAnsi="Arial" w:cs="Arial"/>
                <w:color w:val="221F1F"/>
                <w:sz w:val="24"/>
                <w:lang w:eastAsia="en-GB" w:bidi="en-GB"/>
              </w:rPr>
              <w:t>ommittee or PLDP</w:t>
            </w:r>
          </w:p>
        </w:tc>
      </w:tr>
      <w:tr w:rsidR="00194FF1" w:rsidRPr="00483085" w14:paraId="612E51CA" w14:textId="77777777" w:rsidTr="001759E7">
        <w:trPr>
          <w:trHeight w:val="550"/>
        </w:trPr>
        <w:tc>
          <w:tcPr>
            <w:tcW w:w="6116" w:type="dxa"/>
            <w:gridSpan w:val="2"/>
          </w:tcPr>
          <w:p w14:paraId="4B54E6FA" w14:textId="77777777" w:rsidR="00194FF1" w:rsidRPr="00483085" w:rsidRDefault="00194FF1" w:rsidP="00027EEC">
            <w:pPr>
              <w:widowControl w:val="0"/>
              <w:autoSpaceDE w:val="0"/>
              <w:autoSpaceDN w:val="0"/>
              <w:spacing w:before="4" w:after="0" w:line="276" w:lineRule="exact"/>
              <w:ind w:left="196" w:right="196"/>
              <w:rPr>
                <w:rFonts w:ascii="Arial" w:eastAsia="Arial" w:hAnsi="Arial" w:cs="Arial"/>
                <w:sz w:val="24"/>
                <w:lang w:eastAsia="en-GB" w:bidi="en-GB"/>
              </w:rPr>
            </w:pPr>
            <w:r w:rsidRPr="00483085">
              <w:rPr>
                <w:rFonts w:ascii="Arial" w:eastAsia="Arial" w:hAnsi="Arial" w:cs="Arial"/>
                <w:color w:val="221F1F"/>
                <w:sz w:val="24"/>
                <w:lang w:eastAsia="en-GB" w:bidi="en-GB"/>
              </w:rPr>
              <w:t>Regulation 84 – reviewing suspensions and contingent removal conditions</w:t>
            </w:r>
          </w:p>
        </w:tc>
        <w:tc>
          <w:tcPr>
            <w:tcW w:w="1984" w:type="dxa"/>
          </w:tcPr>
          <w:p w14:paraId="132DDAC4" w14:textId="7932E83B" w:rsidR="00194FF1" w:rsidRPr="00483085" w:rsidRDefault="001759E7" w:rsidP="00027EEC">
            <w:pPr>
              <w:widowControl w:val="0"/>
              <w:autoSpaceDE w:val="0"/>
              <w:autoSpaceDN w:val="0"/>
              <w:spacing w:before="4" w:after="0" w:line="276" w:lineRule="exact"/>
              <w:ind w:left="157" w:right="214"/>
              <w:rPr>
                <w:rFonts w:ascii="Arial" w:eastAsia="Arial" w:hAnsi="Arial" w:cs="Arial"/>
                <w:sz w:val="24"/>
                <w:lang w:eastAsia="en-GB" w:bidi="en-GB"/>
              </w:rPr>
            </w:pPr>
            <w:r>
              <w:rPr>
                <w:rFonts w:ascii="Arial" w:eastAsia="Arial" w:hAnsi="Arial" w:cs="Arial"/>
                <w:color w:val="221F1F"/>
                <w:sz w:val="24"/>
                <w:lang w:eastAsia="en-GB" w:bidi="en-GB"/>
              </w:rPr>
              <w:t>Subc</w:t>
            </w:r>
            <w:r w:rsidRPr="00483085">
              <w:rPr>
                <w:rFonts w:ascii="Arial" w:eastAsia="Arial" w:hAnsi="Arial" w:cs="Arial"/>
                <w:color w:val="221F1F"/>
                <w:sz w:val="24"/>
                <w:lang w:eastAsia="en-GB" w:bidi="en-GB"/>
              </w:rPr>
              <w:t xml:space="preserve">ommittee </w:t>
            </w:r>
            <w:r w:rsidR="00194FF1" w:rsidRPr="00483085">
              <w:rPr>
                <w:rFonts w:ascii="Arial" w:eastAsia="Arial" w:hAnsi="Arial" w:cs="Arial"/>
                <w:color w:val="221F1F"/>
                <w:sz w:val="24"/>
                <w:lang w:eastAsia="en-GB" w:bidi="en-GB"/>
              </w:rPr>
              <w:t>or PLDP</w:t>
            </w:r>
          </w:p>
        </w:tc>
      </w:tr>
      <w:tr w:rsidR="00194FF1" w:rsidRPr="00483085" w14:paraId="29CD0EB8" w14:textId="77777777" w:rsidTr="001759E7">
        <w:trPr>
          <w:trHeight w:val="546"/>
        </w:trPr>
        <w:tc>
          <w:tcPr>
            <w:tcW w:w="6116" w:type="dxa"/>
            <w:gridSpan w:val="2"/>
          </w:tcPr>
          <w:p w14:paraId="4904A240" w14:textId="77777777" w:rsidR="00194FF1" w:rsidRPr="00483085" w:rsidRDefault="00194FF1" w:rsidP="00027EEC">
            <w:pPr>
              <w:widowControl w:val="0"/>
              <w:autoSpaceDE w:val="0"/>
              <w:autoSpaceDN w:val="0"/>
              <w:spacing w:after="0" w:line="271" w:lineRule="exact"/>
              <w:ind w:left="196"/>
              <w:rPr>
                <w:rFonts w:ascii="Arial" w:eastAsia="Arial" w:hAnsi="Arial" w:cs="Arial"/>
                <w:sz w:val="24"/>
                <w:lang w:eastAsia="en-GB" w:bidi="en-GB"/>
              </w:rPr>
            </w:pPr>
            <w:r w:rsidRPr="00483085">
              <w:rPr>
                <w:rFonts w:ascii="Arial" w:eastAsia="Arial" w:hAnsi="Arial" w:cs="Arial"/>
                <w:color w:val="221F1F"/>
                <w:sz w:val="24"/>
                <w:lang w:eastAsia="en-GB" w:bidi="en-GB"/>
              </w:rPr>
              <w:t>Regulation 85 – general power to revoke suspensions in</w:t>
            </w:r>
          </w:p>
          <w:p w14:paraId="51D1525B" w14:textId="77777777" w:rsidR="00194FF1" w:rsidRPr="00483085" w:rsidRDefault="00194FF1" w:rsidP="00027EEC">
            <w:pPr>
              <w:widowControl w:val="0"/>
              <w:autoSpaceDE w:val="0"/>
              <w:autoSpaceDN w:val="0"/>
              <w:spacing w:after="0" w:line="255" w:lineRule="exact"/>
              <w:ind w:left="196"/>
              <w:rPr>
                <w:rFonts w:ascii="Arial" w:eastAsia="Arial" w:hAnsi="Arial" w:cs="Arial"/>
                <w:sz w:val="24"/>
                <w:lang w:eastAsia="en-GB" w:bidi="en-GB"/>
              </w:rPr>
            </w:pPr>
            <w:r w:rsidRPr="00483085">
              <w:rPr>
                <w:rFonts w:ascii="Arial" w:eastAsia="Arial" w:hAnsi="Arial" w:cs="Arial"/>
                <w:color w:val="221F1F"/>
                <w:sz w:val="24"/>
                <w:lang w:eastAsia="en-GB" w:bidi="en-GB"/>
              </w:rPr>
              <w:t>appropriate circumstances</w:t>
            </w:r>
          </w:p>
        </w:tc>
        <w:tc>
          <w:tcPr>
            <w:tcW w:w="1984" w:type="dxa"/>
          </w:tcPr>
          <w:p w14:paraId="596F9C53" w14:textId="03F13C8D" w:rsidR="00194FF1" w:rsidRPr="00483085" w:rsidRDefault="001759E7" w:rsidP="00027EEC">
            <w:pPr>
              <w:widowControl w:val="0"/>
              <w:autoSpaceDE w:val="0"/>
              <w:autoSpaceDN w:val="0"/>
              <w:spacing w:after="0" w:line="255" w:lineRule="exact"/>
              <w:ind w:left="157"/>
              <w:rPr>
                <w:rFonts w:ascii="Arial" w:eastAsia="Arial" w:hAnsi="Arial" w:cs="Arial"/>
                <w:sz w:val="24"/>
                <w:lang w:eastAsia="en-GB" w:bidi="en-GB"/>
              </w:rPr>
            </w:pPr>
            <w:r>
              <w:rPr>
                <w:rFonts w:ascii="Arial" w:eastAsia="Arial" w:hAnsi="Arial" w:cs="Arial"/>
                <w:color w:val="221F1F"/>
                <w:sz w:val="24"/>
                <w:lang w:eastAsia="en-GB" w:bidi="en-GB"/>
              </w:rPr>
              <w:t>Subc</w:t>
            </w:r>
            <w:r w:rsidRPr="00483085">
              <w:rPr>
                <w:rFonts w:ascii="Arial" w:eastAsia="Arial" w:hAnsi="Arial" w:cs="Arial"/>
                <w:color w:val="221F1F"/>
                <w:sz w:val="24"/>
                <w:lang w:eastAsia="en-GB" w:bidi="en-GB"/>
              </w:rPr>
              <w:t xml:space="preserve">ommittee </w:t>
            </w:r>
            <w:r w:rsidR="00194FF1" w:rsidRPr="00483085">
              <w:rPr>
                <w:rFonts w:ascii="Arial" w:eastAsia="Arial" w:hAnsi="Arial" w:cs="Arial"/>
                <w:color w:val="221F1F"/>
                <w:sz w:val="24"/>
                <w:lang w:eastAsia="en-GB" w:bidi="en-GB"/>
              </w:rPr>
              <w:t>or PLDP</w:t>
            </w:r>
          </w:p>
        </w:tc>
      </w:tr>
      <w:tr w:rsidR="001759E7" w:rsidRPr="00483085" w14:paraId="3015DC7A" w14:textId="77777777" w:rsidTr="001759E7">
        <w:trPr>
          <w:trHeight w:val="276"/>
        </w:trPr>
        <w:tc>
          <w:tcPr>
            <w:tcW w:w="6116" w:type="dxa"/>
            <w:gridSpan w:val="2"/>
          </w:tcPr>
          <w:p w14:paraId="3ABA7845" w14:textId="77777777" w:rsidR="001759E7" w:rsidRPr="00483085" w:rsidRDefault="001759E7" w:rsidP="001759E7">
            <w:pPr>
              <w:widowControl w:val="0"/>
              <w:autoSpaceDE w:val="0"/>
              <w:autoSpaceDN w:val="0"/>
              <w:spacing w:before="1" w:after="0" w:line="255" w:lineRule="exact"/>
              <w:ind w:left="196"/>
              <w:rPr>
                <w:rFonts w:ascii="Arial" w:eastAsia="Arial" w:hAnsi="Arial" w:cs="Arial"/>
                <w:sz w:val="24"/>
                <w:lang w:eastAsia="en-GB" w:bidi="en-GB"/>
              </w:rPr>
            </w:pPr>
            <w:r w:rsidRPr="00483085">
              <w:rPr>
                <w:rFonts w:ascii="Arial" w:eastAsia="Arial" w:hAnsi="Arial" w:cs="Arial"/>
                <w:color w:val="221F1F"/>
                <w:sz w:val="24"/>
                <w:lang w:eastAsia="en-GB" w:bidi="en-GB"/>
              </w:rPr>
              <w:lastRenderedPageBreak/>
              <w:t>Regulation 94 – overpayments</w:t>
            </w:r>
          </w:p>
        </w:tc>
        <w:tc>
          <w:tcPr>
            <w:tcW w:w="1984" w:type="dxa"/>
          </w:tcPr>
          <w:p w14:paraId="1EA4B73A" w14:textId="474A7608" w:rsidR="001759E7" w:rsidRPr="00483085" w:rsidRDefault="001759E7" w:rsidP="001759E7">
            <w:pPr>
              <w:widowControl w:val="0"/>
              <w:autoSpaceDE w:val="0"/>
              <w:autoSpaceDN w:val="0"/>
              <w:spacing w:before="1" w:after="0" w:line="255" w:lineRule="exact"/>
              <w:ind w:left="157"/>
              <w:rPr>
                <w:rFonts w:ascii="Arial" w:eastAsia="Arial" w:hAnsi="Arial" w:cs="Arial"/>
                <w:sz w:val="24"/>
                <w:lang w:eastAsia="en-GB" w:bidi="en-GB"/>
              </w:rPr>
            </w:pPr>
            <w:r w:rsidRPr="00183C90">
              <w:rPr>
                <w:rFonts w:ascii="Arial" w:eastAsia="Arial" w:hAnsi="Arial" w:cs="Arial"/>
                <w:color w:val="221F1F"/>
                <w:sz w:val="24"/>
                <w:lang w:eastAsia="en-GB" w:bidi="en-GB"/>
              </w:rPr>
              <w:t>Subcommittee</w:t>
            </w:r>
          </w:p>
        </w:tc>
      </w:tr>
      <w:tr w:rsidR="001759E7" w:rsidRPr="00483085" w14:paraId="266B2106" w14:textId="77777777" w:rsidTr="001759E7">
        <w:trPr>
          <w:trHeight w:val="275"/>
        </w:trPr>
        <w:tc>
          <w:tcPr>
            <w:tcW w:w="6116" w:type="dxa"/>
            <w:gridSpan w:val="2"/>
          </w:tcPr>
          <w:p w14:paraId="51B7F4D5" w14:textId="77777777" w:rsidR="001759E7" w:rsidRPr="00483085" w:rsidRDefault="001759E7" w:rsidP="001759E7">
            <w:pPr>
              <w:widowControl w:val="0"/>
              <w:autoSpaceDE w:val="0"/>
              <w:autoSpaceDN w:val="0"/>
              <w:spacing w:after="0" w:line="255" w:lineRule="exact"/>
              <w:ind w:left="196"/>
              <w:rPr>
                <w:rFonts w:ascii="Arial" w:eastAsia="Arial" w:hAnsi="Arial" w:cs="Arial"/>
                <w:sz w:val="24"/>
                <w:lang w:eastAsia="en-GB" w:bidi="en-GB"/>
              </w:rPr>
            </w:pPr>
            <w:r w:rsidRPr="00483085">
              <w:rPr>
                <w:rFonts w:ascii="Arial" w:eastAsia="Arial" w:hAnsi="Arial" w:cs="Arial"/>
                <w:color w:val="221F1F"/>
                <w:sz w:val="24"/>
                <w:lang w:eastAsia="en-GB" w:bidi="en-GB"/>
              </w:rPr>
              <w:t>Regulation 99 – designation of an LPS area</w:t>
            </w:r>
          </w:p>
        </w:tc>
        <w:tc>
          <w:tcPr>
            <w:tcW w:w="1984" w:type="dxa"/>
          </w:tcPr>
          <w:p w14:paraId="19387848" w14:textId="00F9BA90" w:rsidR="001759E7" w:rsidRPr="00483085" w:rsidRDefault="001759E7" w:rsidP="001759E7">
            <w:pPr>
              <w:widowControl w:val="0"/>
              <w:autoSpaceDE w:val="0"/>
              <w:autoSpaceDN w:val="0"/>
              <w:spacing w:after="0" w:line="255" w:lineRule="exact"/>
              <w:ind w:left="157"/>
              <w:rPr>
                <w:rFonts w:ascii="Arial" w:eastAsia="Arial" w:hAnsi="Arial" w:cs="Arial"/>
                <w:sz w:val="24"/>
                <w:lang w:eastAsia="en-GB" w:bidi="en-GB"/>
              </w:rPr>
            </w:pPr>
            <w:r w:rsidRPr="00183C90">
              <w:rPr>
                <w:rFonts w:ascii="Arial" w:eastAsia="Arial" w:hAnsi="Arial" w:cs="Arial"/>
                <w:color w:val="221F1F"/>
                <w:sz w:val="24"/>
                <w:lang w:eastAsia="en-GB" w:bidi="en-GB"/>
              </w:rPr>
              <w:t>Subcommittee</w:t>
            </w:r>
          </w:p>
        </w:tc>
      </w:tr>
      <w:tr w:rsidR="001759E7" w:rsidRPr="00483085" w14:paraId="2100D6A9" w14:textId="77777777" w:rsidTr="001759E7">
        <w:trPr>
          <w:trHeight w:val="275"/>
        </w:trPr>
        <w:tc>
          <w:tcPr>
            <w:tcW w:w="6116" w:type="dxa"/>
            <w:gridSpan w:val="2"/>
          </w:tcPr>
          <w:p w14:paraId="76DEA5DD" w14:textId="77777777" w:rsidR="001759E7" w:rsidRPr="00483085" w:rsidRDefault="001759E7" w:rsidP="001759E7">
            <w:pPr>
              <w:widowControl w:val="0"/>
              <w:autoSpaceDE w:val="0"/>
              <w:autoSpaceDN w:val="0"/>
              <w:spacing w:after="0" w:line="255" w:lineRule="exact"/>
              <w:ind w:left="196"/>
              <w:rPr>
                <w:rFonts w:ascii="Arial" w:eastAsia="Arial" w:hAnsi="Arial" w:cs="Arial"/>
                <w:sz w:val="24"/>
                <w:lang w:eastAsia="en-GB" w:bidi="en-GB"/>
              </w:rPr>
            </w:pPr>
            <w:r w:rsidRPr="00483085">
              <w:rPr>
                <w:rFonts w:ascii="Arial" w:eastAsia="Arial" w:hAnsi="Arial" w:cs="Arial"/>
                <w:color w:val="221F1F"/>
                <w:sz w:val="24"/>
                <w:lang w:eastAsia="en-GB" w:bidi="en-GB"/>
              </w:rPr>
              <w:t>Regulation 100 – review of designation of an LPS area</w:t>
            </w:r>
          </w:p>
        </w:tc>
        <w:tc>
          <w:tcPr>
            <w:tcW w:w="1984" w:type="dxa"/>
          </w:tcPr>
          <w:p w14:paraId="568E0273" w14:textId="76CFDD91" w:rsidR="001759E7" w:rsidRPr="00483085" w:rsidRDefault="001759E7" w:rsidP="001759E7">
            <w:pPr>
              <w:widowControl w:val="0"/>
              <w:autoSpaceDE w:val="0"/>
              <w:autoSpaceDN w:val="0"/>
              <w:spacing w:after="0" w:line="255" w:lineRule="exact"/>
              <w:ind w:left="157"/>
              <w:rPr>
                <w:rFonts w:ascii="Arial" w:eastAsia="Arial" w:hAnsi="Arial" w:cs="Arial"/>
                <w:sz w:val="24"/>
                <w:lang w:eastAsia="en-GB" w:bidi="en-GB"/>
              </w:rPr>
            </w:pPr>
            <w:r w:rsidRPr="00183C90">
              <w:rPr>
                <w:rFonts w:ascii="Arial" w:eastAsia="Arial" w:hAnsi="Arial" w:cs="Arial"/>
                <w:color w:val="221F1F"/>
                <w:sz w:val="24"/>
                <w:lang w:eastAsia="en-GB" w:bidi="en-GB"/>
              </w:rPr>
              <w:t>Subcommittee</w:t>
            </w:r>
          </w:p>
        </w:tc>
      </w:tr>
      <w:tr w:rsidR="001759E7" w:rsidRPr="00483085" w14:paraId="5AA42CBF" w14:textId="77777777" w:rsidTr="001759E7">
        <w:trPr>
          <w:trHeight w:val="276"/>
        </w:trPr>
        <w:tc>
          <w:tcPr>
            <w:tcW w:w="6116" w:type="dxa"/>
            <w:gridSpan w:val="2"/>
          </w:tcPr>
          <w:p w14:paraId="3837E5EA" w14:textId="77777777" w:rsidR="001759E7" w:rsidRPr="00483085" w:rsidRDefault="001759E7" w:rsidP="001759E7">
            <w:pPr>
              <w:widowControl w:val="0"/>
              <w:autoSpaceDE w:val="0"/>
              <w:autoSpaceDN w:val="0"/>
              <w:spacing w:before="1" w:after="0" w:line="255" w:lineRule="exact"/>
              <w:ind w:left="196"/>
              <w:rPr>
                <w:rFonts w:ascii="Arial" w:eastAsia="Arial" w:hAnsi="Arial" w:cs="Arial"/>
                <w:sz w:val="24"/>
                <w:lang w:eastAsia="en-GB" w:bidi="en-GB"/>
              </w:rPr>
            </w:pPr>
            <w:r w:rsidRPr="00483085">
              <w:rPr>
                <w:rFonts w:ascii="Arial" w:eastAsia="Arial" w:hAnsi="Arial" w:cs="Arial"/>
                <w:color w:val="221F1F"/>
                <w:sz w:val="24"/>
                <w:lang w:eastAsia="en-GB" w:bidi="en-GB"/>
              </w:rPr>
              <w:t>Regulation 101 – cancellation of an LPS area</w:t>
            </w:r>
          </w:p>
        </w:tc>
        <w:tc>
          <w:tcPr>
            <w:tcW w:w="1984" w:type="dxa"/>
          </w:tcPr>
          <w:p w14:paraId="537C17A6" w14:textId="1F740DBC" w:rsidR="001759E7" w:rsidRPr="00483085" w:rsidRDefault="001759E7" w:rsidP="001759E7">
            <w:pPr>
              <w:widowControl w:val="0"/>
              <w:autoSpaceDE w:val="0"/>
              <w:autoSpaceDN w:val="0"/>
              <w:spacing w:before="1" w:after="0" w:line="255" w:lineRule="exact"/>
              <w:ind w:left="157"/>
              <w:rPr>
                <w:rFonts w:ascii="Arial" w:eastAsia="Arial" w:hAnsi="Arial" w:cs="Arial"/>
                <w:sz w:val="24"/>
                <w:lang w:eastAsia="en-GB" w:bidi="en-GB"/>
              </w:rPr>
            </w:pPr>
            <w:r w:rsidRPr="00183C90">
              <w:rPr>
                <w:rFonts w:ascii="Arial" w:eastAsia="Arial" w:hAnsi="Arial" w:cs="Arial"/>
                <w:color w:val="221F1F"/>
                <w:sz w:val="24"/>
                <w:lang w:eastAsia="en-GB" w:bidi="en-GB"/>
              </w:rPr>
              <w:t>Subcommittee</w:t>
            </w:r>
          </w:p>
        </w:tc>
      </w:tr>
      <w:tr w:rsidR="00194FF1" w:rsidRPr="00483085" w14:paraId="7BD47623" w14:textId="77777777" w:rsidTr="001759E7">
        <w:trPr>
          <w:trHeight w:val="561"/>
        </w:trPr>
        <w:tc>
          <w:tcPr>
            <w:tcW w:w="6116" w:type="dxa"/>
            <w:gridSpan w:val="2"/>
            <w:tcBorders>
              <w:top w:val="nil"/>
              <w:left w:val="nil"/>
              <w:bottom w:val="nil"/>
              <w:right w:val="nil"/>
            </w:tcBorders>
            <w:shd w:val="clear" w:color="auto" w:fill="1C6CB4"/>
          </w:tcPr>
          <w:p w14:paraId="5484C37C" w14:textId="77777777" w:rsidR="00194FF1" w:rsidRPr="00483085" w:rsidRDefault="00194FF1" w:rsidP="00027EEC">
            <w:pPr>
              <w:widowControl w:val="0"/>
              <w:autoSpaceDE w:val="0"/>
              <w:autoSpaceDN w:val="0"/>
              <w:spacing w:after="0" w:line="240" w:lineRule="auto"/>
              <w:ind w:left="196"/>
              <w:rPr>
                <w:rFonts w:ascii="Arial" w:eastAsia="Arial" w:hAnsi="Arial" w:cs="Arial"/>
                <w:b/>
                <w:sz w:val="24"/>
                <w:lang w:eastAsia="en-GB" w:bidi="en-GB"/>
              </w:rPr>
            </w:pPr>
            <w:r w:rsidRPr="00483085">
              <w:rPr>
                <w:rFonts w:ascii="Arial" w:eastAsia="Arial" w:hAnsi="Arial" w:cs="Arial"/>
                <w:b/>
                <w:color w:val="FFFFFF"/>
                <w:sz w:val="24"/>
                <w:lang w:eastAsia="en-GB" w:bidi="en-GB"/>
              </w:rPr>
              <w:t>Regulatory provision</w:t>
            </w:r>
          </w:p>
        </w:tc>
        <w:tc>
          <w:tcPr>
            <w:tcW w:w="1984" w:type="dxa"/>
            <w:tcBorders>
              <w:top w:val="nil"/>
              <w:left w:val="nil"/>
              <w:bottom w:val="nil"/>
              <w:right w:val="nil"/>
            </w:tcBorders>
            <w:shd w:val="clear" w:color="auto" w:fill="1C6CB4"/>
          </w:tcPr>
          <w:p w14:paraId="044C3D33" w14:textId="77777777" w:rsidR="00194FF1" w:rsidRPr="00483085" w:rsidRDefault="00194FF1" w:rsidP="00027EEC">
            <w:pPr>
              <w:widowControl w:val="0"/>
              <w:autoSpaceDE w:val="0"/>
              <w:autoSpaceDN w:val="0"/>
              <w:spacing w:after="0" w:line="270" w:lineRule="atLeast"/>
              <w:ind w:left="157" w:right="304"/>
              <w:rPr>
                <w:rFonts w:ascii="Arial" w:eastAsia="Arial" w:hAnsi="Arial" w:cs="Arial"/>
                <w:b/>
                <w:sz w:val="24"/>
                <w:lang w:eastAsia="en-GB" w:bidi="en-GB"/>
              </w:rPr>
            </w:pPr>
            <w:r w:rsidRPr="00483085">
              <w:rPr>
                <w:rFonts w:ascii="Arial" w:eastAsia="Arial" w:hAnsi="Arial" w:cs="Arial"/>
                <w:b/>
                <w:color w:val="FFFFFF"/>
                <w:sz w:val="24"/>
                <w:lang w:eastAsia="en-GB" w:bidi="en-GB"/>
              </w:rPr>
              <w:t>Decision- maker</w:t>
            </w:r>
          </w:p>
        </w:tc>
      </w:tr>
      <w:tr w:rsidR="001759E7" w:rsidRPr="00483085" w14:paraId="47B8FB17" w14:textId="77777777" w:rsidTr="001759E7">
        <w:trPr>
          <w:trHeight w:val="551"/>
        </w:trPr>
        <w:tc>
          <w:tcPr>
            <w:tcW w:w="6116" w:type="dxa"/>
            <w:gridSpan w:val="2"/>
            <w:tcBorders>
              <w:top w:val="nil"/>
            </w:tcBorders>
          </w:tcPr>
          <w:p w14:paraId="20C507CA" w14:textId="77777777" w:rsidR="001759E7" w:rsidRPr="00483085" w:rsidRDefault="001759E7" w:rsidP="001759E7">
            <w:pPr>
              <w:widowControl w:val="0"/>
              <w:autoSpaceDE w:val="0"/>
              <w:autoSpaceDN w:val="0"/>
              <w:spacing w:after="0" w:line="270" w:lineRule="atLeast"/>
              <w:ind w:left="196" w:right="716"/>
              <w:rPr>
                <w:rFonts w:ascii="Arial" w:eastAsia="Arial" w:hAnsi="Arial" w:cs="Arial"/>
                <w:sz w:val="24"/>
                <w:lang w:eastAsia="en-GB" w:bidi="en-GB"/>
              </w:rPr>
            </w:pPr>
            <w:r w:rsidRPr="00483085">
              <w:rPr>
                <w:rFonts w:ascii="Arial" w:eastAsia="Arial" w:hAnsi="Arial" w:cs="Arial"/>
                <w:color w:val="221F1F"/>
                <w:sz w:val="24"/>
                <w:lang w:eastAsia="en-GB" w:bidi="en-GB"/>
              </w:rPr>
              <w:t>Regulation 104 – selection of an LPS proposal for development and decision to adopt proposal</w:t>
            </w:r>
          </w:p>
        </w:tc>
        <w:tc>
          <w:tcPr>
            <w:tcW w:w="1984" w:type="dxa"/>
            <w:tcBorders>
              <w:top w:val="nil"/>
            </w:tcBorders>
          </w:tcPr>
          <w:p w14:paraId="41C89997" w14:textId="41F5D363" w:rsidR="001759E7" w:rsidRPr="00483085" w:rsidRDefault="001759E7" w:rsidP="001759E7">
            <w:pPr>
              <w:widowControl w:val="0"/>
              <w:autoSpaceDE w:val="0"/>
              <w:autoSpaceDN w:val="0"/>
              <w:spacing w:after="0" w:line="240" w:lineRule="auto"/>
              <w:ind w:left="157"/>
              <w:rPr>
                <w:rFonts w:ascii="Arial" w:eastAsia="Arial" w:hAnsi="Arial" w:cs="Arial"/>
                <w:sz w:val="24"/>
                <w:lang w:eastAsia="en-GB" w:bidi="en-GB"/>
              </w:rPr>
            </w:pPr>
            <w:r w:rsidRPr="00082CCB">
              <w:rPr>
                <w:rFonts w:ascii="Arial" w:eastAsia="Arial" w:hAnsi="Arial" w:cs="Arial"/>
                <w:color w:val="221F1F"/>
                <w:sz w:val="24"/>
                <w:lang w:eastAsia="en-GB" w:bidi="en-GB"/>
              </w:rPr>
              <w:t>Subcommittee</w:t>
            </w:r>
          </w:p>
        </w:tc>
      </w:tr>
      <w:tr w:rsidR="001759E7" w:rsidRPr="00483085" w14:paraId="0DC97252" w14:textId="77777777" w:rsidTr="001759E7">
        <w:trPr>
          <w:trHeight w:val="277"/>
        </w:trPr>
        <w:tc>
          <w:tcPr>
            <w:tcW w:w="6116" w:type="dxa"/>
            <w:gridSpan w:val="2"/>
          </w:tcPr>
          <w:p w14:paraId="1E8574E7" w14:textId="77777777" w:rsidR="001759E7" w:rsidRPr="00483085" w:rsidRDefault="001759E7" w:rsidP="001759E7">
            <w:pPr>
              <w:widowControl w:val="0"/>
              <w:autoSpaceDE w:val="0"/>
              <w:autoSpaceDN w:val="0"/>
              <w:spacing w:before="1" w:after="0" w:line="255" w:lineRule="exact"/>
              <w:ind w:left="196"/>
              <w:rPr>
                <w:rFonts w:ascii="Arial" w:eastAsia="Arial" w:hAnsi="Arial" w:cs="Arial"/>
                <w:sz w:val="24"/>
                <w:lang w:eastAsia="en-GB" w:bidi="en-GB"/>
              </w:rPr>
            </w:pPr>
            <w:r w:rsidRPr="00483085">
              <w:rPr>
                <w:rFonts w:ascii="Arial" w:eastAsia="Arial" w:hAnsi="Arial" w:cs="Arial"/>
                <w:color w:val="221F1F"/>
                <w:sz w:val="24"/>
                <w:lang w:eastAsia="en-GB" w:bidi="en-GB"/>
              </w:rPr>
              <w:t>Regulation 108 – right of return for LPS contractor</w:t>
            </w:r>
          </w:p>
        </w:tc>
        <w:tc>
          <w:tcPr>
            <w:tcW w:w="1984" w:type="dxa"/>
          </w:tcPr>
          <w:p w14:paraId="00E289B4" w14:textId="4362B57E" w:rsidR="001759E7" w:rsidRPr="00483085" w:rsidRDefault="001759E7" w:rsidP="001759E7">
            <w:pPr>
              <w:widowControl w:val="0"/>
              <w:autoSpaceDE w:val="0"/>
              <w:autoSpaceDN w:val="0"/>
              <w:spacing w:before="1" w:after="0" w:line="255" w:lineRule="exact"/>
              <w:ind w:left="157"/>
              <w:rPr>
                <w:rFonts w:ascii="Arial" w:eastAsia="Arial" w:hAnsi="Arial" w:cs="Arial"/>
                <w:sz w:val="24"/>
                <w:lang w:eastAsia="en-GB" w:bidi="en-GB"/>
              </w:rPr>
            </w:pPr>
            <w:r w:rsidRPr="00082CCB">
              <w:rPr>
                <w:rFonts w:ascii="Arial" w:eastAsia="Arial" w:hAnsi="Arial" w:cs="Arial"/>
                <w:color w:val="221F1F"/>
                <w:sz w:val="24"/>
                <w:lang w:eastAsia="en-GB" w:bidi="en-GB"/>
              </w:rPr>
              <w:t>Subcommittee</w:t>
            </w:r>
          </w:p>
        </w:tc>
      </w:tr>
      <w:tr w:rsidR="00194FF1" w:rsidRPr="00483085" w14:paraId="538F024D" w14:textId="77777777" w:rsidTr="001759E7">
        <w:trPr>
          <w:trHeight w:val="551"/>
        </w:trPr>
        <w:tc>
          <w:tcPr>
            <w:tcW w:w="6116" w:type="dxa"/>
            <w:gridSpan w:val="2"/>
          </w:tcPr>
          <w:p w14:paraId="0433628D" w14:textId="77777777" w:rsidR="00194FF1" w:rsidRPr="00483085" w:rsidRDefault="00194FF1" w:rsidP="00027EEC">
            <w:pPr>
              <w:widowControl w:val="0"/>
              <w:autoSpaceDE w:val="0"/>
              <w:autoSpaceDN w:val="0"/>
              <w:spacing w:after="0" w:line="270" w:lineRule="atLeast"/>
              <w:ind w:left="196" w:right="129"/>
              <w:rPr>
                <w:rFonts w:ascii="Arial" w:eastAsia="Arial" w:hAnsi="Arial" w:cs="Arial"/>
                <w:sz w:val="24"/>
                <w:lang w:eastAsia="en-GB" w:bidi="en-GB"/>
              </w:rPr>
            </w:pPr>
            <w:r w:rsidRPr="00483085">
              <w:rPr>
                <w:rFonts w:ascii="Arial" w:eastAsia="Arial" w:hAnsi="Arial" w:cs="Arial"/>
                <w:color w:val="221F1F"/>
                <w:sz w:val="24"/>
                <w:lang w:eastAsia="en-GB" w:bidi="en-GB"/>
              </w:rPr>
              <w:t>Schedule 2, paragraph 1(10) – whether a best estimate is acceptable</w:t>
            </w:r>
          </w:p>
        </w:tc>
        <w:tc>
          <w:tcPr>
            <w:tcW w:w="1984" w:type="dxa"/>
          </w:tcPr>
          <w:p w14:paraId="42586106" w14:textId="6C522365" w:rsidR="00194FF1" w:rsidRPr="00483085" w:rsidRDefault="00194FF1" w:rsidP="00027EEC">
            <w:pPr>
              <w:widowControl w:val="0"/>
              <w:autoSpaceDE w:val="0"/>
              <w:autoSpaceDN w:val="0"/>
              <w:spacing w:after="0" w:line="270" w:lineRule="atLeast"/>
              <w:ind w:left="157" w:right="268"/>
              <w:rPr>
                <w:rFonts w:ascii="Arial" w:eastAsia="Arial" w:hAnsi="Arial" w:cs="Arial"/>
                <w:sz w:val="24"/>
                <w:lang w:eastAsia="en-GB" w:bidi="en-GB"/>
              </w:rPr>
            </w:pPr>
            <w:r w:rsidRPr="00483085">
              <w:rPr>
                <w:rFonts w:ascii="Arial" w:eastAsia="Arial" w:hAnsi="Arial" w:cs="Arial"/>
                <w:color w:val="221F1F"/>
                <w:sz w:val="24"/>
                <w:lang w:eastAsia="en-GB" w:bidi="en-GB"/>
              </w:rPr>
              <w:t xml:space="preserve">Officer or </w:t>
            </w:r>
            <w:r w:rsidR="001759E7">
              <w:rPr>
                <w:rFonts w:ascii="Arial" w:eastAsia="Arial" w:hAnsi="Arial" w:cs="Arial"/>
                <w:color w:val="221F1F"/>
                <w:sz w:val="24"/>
                <w:lang w:eastAsia="en-GB" w:bidi="en-GB"/>
              </w:rPr>
              <w:t>Subc</w:t>
            </w:r>
            <w:r w:rsidR="001759E7" w:rsidRPr="00483085">
              <w:rPr>
                <w:rFonts w:ascii="Arial" w:eastAsia="Arial" w:hAnsi="Arial" w:cs="Arial"/>
                <w:color w:val="221F1F"/>
                <w:sz w:val="24"/>
                <w:lang w:eastAsia="en-GB" w:bidi="en-GB"/>
              </w:rPr>
              <w:t>ommittee</w:t>
            </w:r>
          </w:p>
        </w:tc>
      </w:tr>
      <w:tr w:rsidR="00194FF1" w:rsidRPr="00483085" w14:paraId="6623F60C" w14:textId="77777777" w:rsidTr="001759E7">
        <w:trPr>
          <w:trHeight w:val="551"/>
        </w:trPr>
        <w:tc>
          <w:tcPr>
            <w:tcW w:w="6116" w:type="dxa"/>
            <w:gridSpan w:val="2"/>
          </w:tcPr>
          <w:p w14:paraId="30582156" w14:textId="77777777" w:rsidR="00194FF1" w:rsidRPr="00483085" w:rsidRDefault="00194FF1" w:rsidP="00027EEC">
            <w:pPr>
              <w:widowControl w:val="0"/>
              <w:autoSpaceDE w:val="0"/>
              <w:autoSpaceDN w:val="0"/>
              <w:spacing w:after="0" w:line="270" w:lineRule="atLeast"/>
              <w:ind w:left="196" w:right="36"/>
              <w:rPr>
                <w:rFonts w:ascii="Arial" w:eastAsia="Arial" w:hAnsi="Arial" w:cs="Arial"/>
                <w:sz w:val="24"/>
                <w:lang w:eastAsia="en-GB" w:bidi="en-GB"/>
              </w:rPr>
            </w:pPr>
            <w:r w:rsidRPr="00483085">
              <w:rPr>
                <w:rFonts w:ascii="Arial" w:eastAsia="Arial" w:hAnsi="Arial" w:cs="Arial"/>
                <w:color w:val="221F1F"/>
                <w:sz w:val="24"/>
                <w:lang w:eastAsia="en-GB" w:bidi="en-GB"/>
              </w:rPr>
              <w:t>Schedule 2, paragraph 11(1) – determination of whether there is missing information</w:t>
            </w:r>
          </w:p>
        </w:tc>
        <w:tc>
          <w:tcPr>
            <w:tcW w:w="1984" w:type="dxa"/>
          </w:tcPr>
          <w:p w14:paraId="4003A028" w14:textId="77777777" w:rsidR="00194FF1" w:rsidRPr="00483085" w:rsidRDefault="00194FF1" w:rsidP="00027EEC">
            <w:pPr>
              <w:widowControl w:val="0"/>
              <w:autoSpaceDE w:val="0"/>
              <w:autoSpaceDN w:val="0"/>
              <w:spacing w:after="0" w:line="240" w:lineRule="auto"/>
              <w:ind w:left="157"/>
              <w:rPr>
                <w:rFonts w:ascii="Arial" w:eastAsia="Arial" w:hAnsi="Arial" w:cs="Arial"/>
                <w:sz w:val="24"/>
                <w:lang w:eastAsia="en-GB" w:bidi="en-GB"/>
              </w:rPr>
            </w:pPr>
            <w:r w:rsidRPr="00483085">
              <w:rPr>
                <w:rFonts w:ascii="Arial" w:eastAsia="Arial" w:hAnsi="Arial" w:cs="Arial"/>
                <w:color w:val="221F1F"/>
                <w:sz w:val="24"/>
                <w:lang w:eastAsia="en-GB" w:bidi="en-GB"/>
              </w:rPr>
              <w:t>Officer</w:t>
            </w:r>
          </w:p>
        </w:tc>
      </w:tr>
      <w:tr w:rsidR="00194FF1" w:rsidRPr="00483085" w14:paraId="32FA972C" w14:textId="77777777" w:rsidTr="001759E7">
        <w:trPr>
          <w:trHeight w:val="826"/>
        </w:trPr>
        <w:tc>
          <w:tcPr>
            <w:tcW w:w="6116" w:type="dxa"/>
            <w:gridSpan w:val="2"/>
          </w:tcPr>
          <w:p w14:paraId="0CA30A32" w14:textId="77777777" w:rsidR="00194FF1" w:rsidRPr="00483085" w:rsidRDefault="00194FF1" w:rsidP="00027EEC">
            <w:pPr>
              <w:widowControl w:val="0"/>
              <w:autoSpaceDE w:val="0"/>
              <w:autoSpaceDN w:val="0"/>
              <w:spacing w:before="4" w:after="0" w:line="276" w:lineRule="exact"/>
              <w:ind w:left="196" w:right="663"/>
              <w:rPr>
                <w:rFonts w:ascii="Arial" w:eastAsia="Arial" w:hAnsi="Arial" w:cs="Arial"/>
                <w:sz w:val="24"/>
                <w:lang w:eastAsia="en-GB" w:bidi="en-GB"/>
              </w:rPr>
            </w:pPr>
            <w:r w:rsidRPr="00483085">
              <w:rPr>
                <w:rFonts w:ascii="Arial" w:eastAsia="Arial" w:hAnsi="Arial" w:cs="Arial"/>
                <w:color w:val="221F1F"/>
                <w:sz w:val="24"/>
                <w:lang w:eastAsia="en-GB" w:bidi="en-GB"/>
              </w:rPr>
              <w:t>Schedule 2, paragraph 11(2)(b) – determination of review of reasonableness of request for missing information</w:t>
            </w:r>
          </w:p>
        </w:tc>
        <w:tc>
          <w:tcPr>
            <w:tcW w:w="1984" w:type="dxa"/>
          </w:tcPr>
          <w:p w14:paraId="65CADFDA" w14:textId="6A8F2890" w:rsidR="00194FF1" w:rsidRPr="00483085" w:rsidRDefault="00194FF1" w:rsidP="00027EEC">
            <w:pPr>
              <w:widowControl w:val="0"/>
              <w:autoSpaceDE w:val="0"/>
              <w:autoSpaceDN w:val="0"/>
              <w:spacing w:after="0" w:line="240" w:lineRule="auto"/>
              <w:ind w:left="157" w:right="268"/>
              <w:rPr>
                <w:rFonts w:ascii="Arial" w:eastAsia="Arial" w:hAnsi="Arial" w:cs="Arial"/>
                <w:sz w:val="24"/>
                <w:lang w:eastAsia="en-GB" w:bidi="en-GB"/>
              </w:rPr>
            </w:pPr>
            <w:r w:rsidRPr="00483085">
              <w:rPr>
                <w:rFonts w:ascii="Arial" w:eastAsia="Arial" w:hAnsi="Arial" w:cs="Arial"/>
                <w:color w:val="221F1F"/>
                <w:sz w:val="24"/>
                <w:lang w:eastAsia="en-GB" w:bidi="en-GB"/>
              </w:rPr>
              <w:t xml:space="preserve">Officer or </w:t>
            </w:r>
            <w:r w:rsidR="001759E7">
              <w:rPr>
                <w:rFonts w:ascii="Arial" w:eastAsia="Arial" w:hAnsi="Arial" w:cs="Arial"/>
                <w:color w:val="221F1F"/>
                <w:sz w:val="24"/>
                <w:lang w:eastAsia="en-GB" w:bidi="en-GB"/>
              </w:rPr>
              <w:t>Subc</w:t>
            </w:r>
            <w:r w:rsidR="001759E7" w:rsidRPr="00483085">
              <w:rPr>
                <w:rFonts w:ascii="Arial" w:eastAsia="Arial" w:hAnsi="Arial" w:cs="Arial"/>
                <w:color w:val="221F1F"/>
                <w:sz w:val="24"/>
                <w:lang w:eastAsia="en-GB" w:bidi="en-GB"/>
              </w:rPr>
              <w:t>ommittee</w:t>
            </w:r>
          </w:p>
        </w:tc>
      </w:tr>
      <w:tr w:rsidR="00194FF1" w:rsidRPr="00483085" w14:paraId="34FB34BC" w14:textId="77777777" w:rsidTr="001759E7">
        <w:trPr>
          <w:trHeight w:val="547"/>
        </w:trPr>
        <w:tc>
          <w:tcPr>
            <w:tcW w:w="6116" w:type="dxa"/>
            <w:gridSpan w:val="2"/>
          </w:tcPr>
          <w:p w14:paraId="528638D1" w14:textId="77777777" w:rsidR="00194FF1" w:rsidRPr="00483085" w:rsidRDefault="00194FF1" w:rsidP="00027EEC">
            <w:pPr>
              <w:widowControl w:val="0"/>
              <w:autoSpaceDE w:val="0"/>
              <w:autoSpaceDN w:val="0"/>
              <w:spacing w:after="0" w:line="276" w:lineRule="exact"/>
              <w:ind w:left="196" w:right="1236"/>
              <w:rPr>
                <w:rFonts w:ascii="Arial" w:eastAsia="Arial" w:hAnsi="Arial" w:cs="Arial"/>
                <w:sz w:val="24"/>
                <w:lang w:eastAsia="en-GB" w:bidi="en-GB"/>
              </w:rPr>
            </w:pPr>
            <w:r w:rsidRPr="00483085">
              <w:rPr>
                <w:rFonts w:ascii="Arial" w:eastAsia="Arial" w:hAnsi="Arial" w:cs="Arial"/>
                <w:color w:val="221F1F"/>
                <w:sz w:val="24"/>
                <w:lang w:eastAsia="en-GB" w:bidi="en-GB"/>
              </w:rPr>
              <w:t>Schedule 2, paragraph 14 – whether to defer consideration of application</w:t>
            </w:r>
          </w:p>
        </w:tc>
        <w:tc>
          <w:tcPr>
            <w:tcW w:w="1984" w:type="dxa"/>
          </w:tcPr>
          <w:p w14:paraId="023E8EDC" w14:textId="3513C4E0" w:rsidR="00194FF1" w:rsidRPr="00483085" w:rsidRDefault="00194FF1" w:rsidP="00027EEC">
            <w:pPr>
              <w:widowControl w:val="0"/>
              <w:autoSpaceDE w:val="0"/>
              <w:autoSpaceDN w:val="0"/>
              <w:spacing w:after="0" w:line="276" w:lineRule="exact"/>
              <w:ind w:left="157" w:right="268"/>
              <w:rPr>
                <w:rFonts w:ascii="Arial" w:eastAsia="Arial" w:hAnsi="Arial" w:cs="Arial"/>
                <w:sz w:val="24"/>
                <w:lang w:eastAsia="en-GB" w:bidi="en-GB"/>
              </w:rPr>
            </w:pPr>
            <w:r w:rsidRPr="00483085">
              <w:rPr>
                <w:rFonts w:ascii="Arial" w:eastAsia="Arial" w:hAnsi="Arial" w:cs="Arial"/>
                <w:color w:val="221F1F"/>
                <w:sz w:val="24"/>
                <w:lang w:eastAsia="en-GB" w:bidi="en-GB"/>
              </w:rPr>
              <w:t xml:space="preserve">Officer or </w:t>
            </w:r>
            <w:r w:rsidR="001759E7">
              <w:rPr>
                <w:rFonts w:ascii="Arial" w:eastAsia="Arial" w:hAnsi="Arial" w:cs="Arial"/>
                <w:color w:val="221F1F"/>
                <w:sz w:val="24"/>
                <w:lang w:eastAsia="en-GB" w:bidi="en-GB"/>
              </w:rPr>
              <w:t>Subc</w:t>
            </w:r>
            <w:r w:rsidR="001759E7" w:rsidRPr="00483085">
              <w:rPr>
                <w:rFonts w:ascii="Arial" w:eastAsia="Arial" w:hAnsi="Arial" w:cs="Arial"/>
                <w:color w:val="221F1F"/>
                <w:sz w:val="24"/>
                <w:lang w:eastAsia="en-GB" w:bidi="en-GB"/>
              </w:rPr>
              <w:t>ommittee</w:t>
            </w:r>
          </w:p>
        </w:tc>
      </w:tr>
      <w:tr w:rsidR="00194FF1" w:rsidRPr="00483085" w14:paraId="2F50B8A0" w14:textId="77777777" w:rsidTr="001759E7">
        <w:trPr>
          <w:trHeight w:val="547"/>
        </w:trPr>
        <w:tc>
          <w:tcPr>
            <w:tcW w:w="6116" w:type="dxa"/>
            <w:gridSpan w:val="2"/>
          </w:tcPr>
          <w:p w14:paraId="2422ED96" w14:textId="77777777" w:rsidR="00194FF1" w:rsidRPr="00483085" w:rsidRDefault="00194FF1" w:rsidP="00027EEC">
            <w:pPr>
              <w:widowControl w:val="0"/>
              <w:autoSpaceDE w:val="0"/>
              <w:autoSpaceDN w:val="0"/>
              <w:spacing w:after="0" w:line="276" w:lineRule="exact"/>
              <w:ind w:left="196" w:right="236"/>
              <w:rPr>
                <w:rFonts w:ascii="Arial" w:eastAsia="Arial" w:hAnsi="Arial" w:cs="Arial"/>
                <w:sz w:val="24"/>
                <w:lang w:eastAsia="en-GB" w:bidi="en-GB"/>
              </w:rPr>
            </w:pPr>
            <w:r w:rsidRPr="00483085">
              <w:rPr>
                <w:rFonts w:ascii="Arial" w:eastAsia="Arial" w:hAnsi="Arial" w:cs="Arial"/>
                <w:color w:val="221F1F"/>
                <w:sz w:val="24"/>
                <w:lang w:eastAsia="en-GB" w:bidi="en-GB"/>
              </w:rPr>
              <w:t>Schedule 2, paragraph 19 – determination of who is to be provided with notice of a notifiable application</w:t>
            </w:r>
          </w:p>
        </w:tc>
        <w:tc>
          <w:tcPr>
            <w:tcW w:w="1984" w:type="dxa"/>
          </w:tcPr>
          <w:p w14:paraId="6B016370" w14:textId="77777777" w:rsidR="00194FF1" w:rsidRPr="00483085" w:rsidRDefault="00194FF1" w:rsidP="00027EEC">
            <w:pPr>
              <w:widowControl w:val="0"/>
              <w:autoSpaceDE w:val="0"/>
              <w:autoSpaceDN w:val="0"/>
              <w:spacing w:after="0" w:line="272" w:lineRule="exact"/>
              <w:ind w:left="157"/>
              <w:rPr>
                <w:rFonts w:ascii="Arial" w:eastAsia="Arial" w:hAnsi="Arial" w:cs="Arial"/>
                <w:sz w:val="24"/>
                <w:lang w:eastAsia="en-GB" w:bidi="en-GB"/>
              </w:rPr>
            </w:pPr>
            <w:r w:rsidRPr="00483085">
              <w:rPr>
                <w:rFonts w:ascii="Arial" w:eastAsia="Arial" w:hAnsi="Arial" w:cs="Arial"/>
                <w:color w:val="221F1F"/>
                <w:sz w:val="24"/>
                <w:lang w:eastAsia="en-GB" w:bidi="en-GB"/>
              </w:rPr>
              <w:t>Officer</w:t>
            </w:r>
          </w:p>
        </w:tc>
      </w:tr>
      <w:tr w:rsidR="00194FF1" w:rsidRPr="00483085" w14:paraId="4E398B2A" w14:textId="77777777" w:rsidTr="001759E7">
        <w:trPr>
          <w:trHeight w:val="822"/>
        </w:trPr>
        <w:tc>
          <w:tcPr>
            <w:tcW w:w="6116" w:type="dxa"/>
            <w:gridSpan w:val="2"/>
          </w:tcPr>
          <w:p w14:paraId="46C78C32" w14:textId="77777777" w:rsidR="00194FF1" w:rsidRPr="00483085" w:rsidRDefault="00194FF1" w:rsidP="00027EEC">
            <w:pPr>
              <w:widowControl w:val="0"/>
              <w:autoSpaceDE w:val="0"/>
              <w:autoSpaceDN w:val="0"/>
              <w:spacing w:after="0" w:line="276" w:lineRule="exact"/>
              <w:ind w:left="196" w:right="36"/>
              <w:rPr>
                <w:rFonts w:ascii="Arial" w:eastAsia="Arial" w:hAnsi="Arial" w:cs="Arial"/>
                <w:sz w:val="24"/>
                <w:lang w:eastAsia="en-GB" w:bidi="en-GB"/>
              </w:rPr>
            </w:pPr>
            <w:r w:rsidRPr="00483085">
              <w:rPr>
                <w:rFonts w:ascii="Arial" w:eastAsia="Arial" w:hAnsi="Arial" w:cs="Arial"/>
                <w:color w:val="221F1F"/>
                <w:sz w:val="24"/>
                <w:lang w:eastAsia="en-GB" w:bidi="en-GB"/>
              </w:rPr>
              <w:t>Schedule 2, paragraph 21(4) – determination of whether the full disclosure principle applies to information contained within a notifiable application</w:t>
            </w:r>
          </w:p>
        </w:tc>
        <w:tc>
          <w:tcPr>
            <w:tcW w:w="1984" w:type="dxa"/>
          </w:tcPr>
          <w:p w14:paraId="705A2B3C" w14:textId="5FFE47CA" w:rsidR="00194FF1" w:rsidRPr="00483085" w:rsidRDefault="001759E7" w:rsidP="00027EEC">
            <w:pPr>
              <w:widowControl w:val="0"/>
              <w:autoSpaceDE w:val="0"/>
              <w:autoSpaceDN w:val="0"/>
              <w:spacing w:after="0" w:line="272" w:lineRule="exact"/>
              <w:ind w:left="157"/>
              <w:rPr>
                <w:rFonts w:ascii="Arial" w:eastAsia="Arial" w:hAnsi="Arial" w:cs="Arial"/>
                <w:sz w:val="24"/>
                <w:lang w:eastAsia="en-GB" w:bidi="en-GB"/>
              </w:rPr>
            </w:pPr>
            <w:r>
              <w:rPr>
                <w:rFonts w:ascii="Arial" w:eastAsia="Arial" w:hAnsi="Arial" w:cs="Arial"/>
                <w:color w:val="221F1F"/>
                <w:sz w:val="24"/>
                <w:lang w:eastAsia="en-GB" w:bidi="en-GB"/>
              </w:rPr>
              <w:t>Subc</w:t>
            </w:r>
            <w:r w:rsidRPr="00483085">
              <w:rPr>
                <w:rFonts w:ascii="Arial" w:eastAsia="Arial" w:hAnsi="Arial" w:cs="Arial"/>
                <w:color w:val="221F1F"/>
                <w:sz w:val="24"/>
                <w:lang w:eastAsia="en-GB" w:bidi="en-GB"/>
              </w:rPr>
              <w:t>ommittee</w:t>
            </w:r>
          </w:p>
        </w:tc>
      </w:tr>
      <w:tr w:rsidR="00194FF1" w:rsidRPr="00483085" w14:paraId="2449263C" w14:textId="77777777" w:rsidTr="001759E7">
        <w:trPr>
          <w:trHeight w:val="1099"/>
        </w:trPr>
        <w:tc>
          <w:tcPr>
            <w:tcW w:w="6116" w:type="dxa"/>
            <w:gridSpan w:val="2"/>
          </w:tcPr>
          <w:p w14:paraId="109CB988" w14:textId="77777777" w:rsidR="00194FF1" w:rsidRPr="00483085" w:rsidRDefault="00194FF1" w:rsidP="00027EEC">
            <w:pPr>
              <w:widowControl w:val="0"/>
              <w:autoSpaceDE w:val="0"/>
              <w:autoSpaceDN w:val="0"/>
              <w:spacing w:after="0" w:line="276" w:lineRule="exact"/>
              <w:ind w:left="196" w:right="516"/>
              <w:rPr>
                <w:rFonts w:ascii="Arial" w:eastAsia="Arial" w:hAnsi="Arial" w:cs="Arial"/>
                <w:sz w:val="24"/>
                <w:lang w:eastAsia="en-GB" w:bidi="en-GB"/>
              </w:rPr>
            </w:pPr>
            <w:r w:rsidRPr="00483085">
              <w:rPr>
                <w:rFonts w:ascii="Arial" w:eastAsia="Arial" w:hAnsi="Arial" w:cs="Arial"/>
                <w:color w:val="221F1F"/>
                <w:sz w:val="24"/>
                <w:lang w:eastAsia="en-GB" w:bidi="en-GB"/>
              </w:rPr>
              <w:t>Schedule 2, paragraph 22(2) – whether oral representations are to be provided and who may be additional presenters as defined in Schedule 2, paragraph 25(2)</w:t>
            </w:r>
          </w:p>
        </w:tc>
        <w:tc>
          <w:tcPr>
            <w:tcW w:w="1984" w:type="dxa"/>
          </w:tcPr>
          <w:p w14:paraId="67863FC4" w14:textId="7236A0B4" w:rsidR="00194FF1" w:rsidRPr="00483085" w:rsidRDefault="00194FF1" w:rsidP="00027EEC">
            <w:pPr>
              <w:widowControl w:val="0"/>
              <w:autoSpaceDE w:val="0"/>
              <w:autoSpaceDN w:val="0"/>
              <w:spacing w:after="0" w:line="240" w:lineRule="auto"/>
              <w:ind w:left="157" w:right="268"/>
              <w:rPr>
                <w:rFonts w:ascii="Arial" w:eastAsia="Arial" w:hAnsi="Arial" w:cs="Arial"/>
                <w:sz w:val="24"/>
                <w:lang w:eastAsia="en-GB" w:bidi="en-GB"/>
              </w:rPr>
            </w:pPr>
            <w:r w:rsidRPr="00483085">
              <w:rPr>
                <w:rFonts w:ascii="Arial" w:eastAsia="Arial" w:hAnsi="Arial" w:cs="Arial"/>
                <w:color w:val="221F1F"/>
                <w:sz w:val="24"/>
                <w:lang w:eastAsia="en-GB" w:bidi="en-GB"/>
              </w:rPr>
              <w:t xml:space="preserve">Officer or </w:t>
            </w:r>
            <w:r w:rsidR="001759E7">
              <w:rPr>
                <w:rFonts w:ascii="Arial" w:eastAsia="Arial" w:hAnsi="Arial" w:cs="Arial"/>
                <w:color w:val="221F1F"/>
                <w:sz w:val="24"/>
                <w:lang w:eastAsia="en-GB" w:bidi="en-GB"/>
              </w:rPr>
              <w:t>Subc</w:t>
            </w:r>
            <w:r w:rsidR="001759E7" w:rsidRPr="00483085">
              <w:rPr>
                <w:rFonts w:ascii="Arial" w:eastAsia="Arial" w:hAnsi="Arial" w:cs="Arial"/>
                <w:color w:val="221F1F"/>
                <w:sz w:val="24"/>
                <w:lang w:eastAsia="en-GB" w:bidi="en-GB"/>
              </w:rPr>
              <w:t>ommittee</w:t>
            </w:r>
          </w:p>
        </w:tc>
      </w:tr>
      <w:tr w:rsidR="00194FF1" w:rsidRPr="00483085" w14:paraId="0B1EFB65" w14:textId="77777777" w:rsidTr="001759E7">
        <w:trPr>
          <w:trHeight w:val="547"/>
        </w:trPr>
        <w:tc>
          <w:tcPr>
            <w:tcW w:w="6116" w:type="dxa"/>
            <w:gridSpan w:val="2"/>
          </w:tcPr>
          <w:p w14:paraId="254C9215" w14:textId="77777777" w:rsidR="00194FF1" w:rsidRPr="00483085" w:rsidRDefault="00194FF1" w:rsidP="00027EEC">
            <w:pPr>
              <w:widowControl w:val="0"/>
              <w:autoSpaceDE w:val="0"/>
              <w:autoSpaceDN w:val="0"/>
              <w:spacing w:after="0" w:line="276" w:lineRule="exact"/>
              <w:ind w:left="196" w:right="502"/>
              <w:rPr>
                <w:rFonts w:ascii="Arial" w:eastAsia="Arial" w:hAnsi="Arial" w:cs="Arial"/>
                <w:sz w:val="24"/>
                <w:lang w:eastAsia="en-GB" w:bidi="en-GB"/>
              </w:rPr>
            </w:pPr>
            <w:r w:rsidRPr="00483085">
              <w:rPr>
                <w:rFonts w:ascii="Arial" w:eastAsia="Arial" w:hAnsi="Arial" w:cs="Arial"/>
                <w:color w:val="221F1F"/>
                <w:sz w:val="24"/>
                <w:lang w:eastAsia="en-GB" w:bidi="en-GB"/>
              </w:rPr>
              <w:t>Schedule 2, paragraph 25 – decision to hold an oral hearing to determine an application</w:t>
            </w:r>
          </w:p>
        </w:tc>
        <w:tc>
          <w:tcPr>
            <w:tcW w:w="1984" w:type="dxa"/>
          </w:tcPr>
          <w:p w14:paraId="058CF1A5" w14:textId="482FB323" w:rsidR="00194FF1" w:rsidRPr="00483085" w:rsidRDefault="001759E7" w:rsidP="00027EEC">
            <w:pPr>
              <w:widowControl w:val="0"/>
              <w:autoSpaceDE w:val="0"/>
              <w:autoSpaceDN w:val="0"/>
              <w:spacing w:after="0" w:line="272" w:lineRule="exact"/>
              <w:ind w:left="157"/>
              <w:rPr>
                <w:rFonts w:ascii="Arial" w:eastAsia="Arial" w:hAnsi="Arial" w:cs="Arial"/>
                <w:sz w:val="24"/>
                <w:lang w:eastAsia="en-GB" w:bidi="en-GB"/>
              </w:rPr>
            </w:pPr>
            <w:r>
              <w:rPr>
                <w:rFonts w:ascii="Arial" w:eastAsia="Arial" w:hAnsi="Arial" w:cs="Arial"/>
                <w:color w:val="221F1F"/>
                <w:sz w:val="24"/>
                <w:lang w:eastAsia="en-GB" w:bidi="en-GB"/>
              </w:rPr>
              <w:t>Subc</w:t>
            </w:r>
            <w:r w:rsidRPr="00483085">
              <w:rPr>
                <w:rFonts w:ascii="Arial" w:eastAsia="Arial" w:hAnsi="Arial" w:cs="Arial"/>
                <w:color w:val="221F1F"/>
                <w:sz w:val="24"/>
                <w:lang w:eastAsia="en-GB" w:bidi="en-GB"/>
              </w:rPr>
              <w:t>ommittee</w:t>
            </w:r>
          </w:p>
        </w:tc>
      </w:tr>
      <w:tr w:rsidR="00194FF1" w:rsidRPr="00483085" w14:paraId="567CCA53" w14:textId="77777777" w:rsidTr="001759E7">
        <w:trPr>
          <w:trHeight w:val="823"/>
        </w:trPr>
        <w:tc>
          <w:tcPr>
            <w:tcW w:w="6116" w:type="dxa"/>
            <w:gridSpan w:val="2"/>
          </w:tcPr>
          <w:p w14:paraId="3E9F0ADD" w14:textId="77777777" w:rsidR="00194FF1" w:rsidRPr="00483085" w:rsidRDefault="00194FF1" w:rsidP="00027EEC">
            <w:pPr>
              <w:widowControl w:val="0"/>
              <w:autoSpaceDE w:val="0"/>
              <w:autoSpaceDN w:val="0"/>
              <w:spacing w:after="0" w:line="276" w:lineRule="exact"/>
              <w:ind w:left="196" w:right="236"/>
              <w:rPr>
                <w:rFonts w:ascii="Arial" w:eastAsia="Arial" w:hAnsi="Arial" w:cs="Arial"/>
                <w:sz w:val="24"/>
                <w:lang w:eastAsia="en-GB" w:bidi="en-GB"/>
              </w:rPr>
            </w:pPr>
            <w:r w:rsidRPr="00483085">
              <w:rPr>
                <w:rFonts w:ascii="Arial" w:eastAsia="Arial" w:hAnsi="Arial" w:cs="Arial"/>
                <w:color w:val="221F1F"/>
                <w:sz w:val="24"/>
                <w:lang w:eastAsia="en-GB" w:bidi="en-GB"/>
              </w:rPr>
              <w:t>Schedule 2, paragraph 28 – determination of who is to be notified of decisions on routine and excepted applications</w:t>
            </w:r>
          </w:p>
        </w:tc>
        <w:tc>
          <w:tcPr>
            <w:tcW w:w="1984" w:type="dxa"/>
          </w:tcPr>
          <w:p w14:paraId="76708A76" w14:textId="148E5D5A" w:rsidR="00194FF1" w:rsidRPr="00483085" w:rsidRDefault="00194FF1" w:rsidP="00027EEC">
            <w:pPr>
              <w:widowControl w:val="0"/>
              <w:autoSpaceDE w:val="0"/>
              <w:autoSpaceDN w:val="0"/>
              <w:spacing w:after="0" w:line="240" w:lineRule="auto"/>
              <w:ind w:left="157" w:right="268"/>
              <w:rPr>
                <w:rFonts w:ascii="Arial" w:eastAsia="Arial" w:hAnsi="Arial" w:cs="Arial"/>
                <w:sz w:val="24"/>
                <w:lang w:eastAsia="en-GB" w:bidi="en-GB"/>
              </w:rPr>
            </w:pPr>
            <w:r w:rsidRPr="00483085">
              <w:rPr>
                <w:rFonts w:ascii="Arial" w:eastAsia="Arial" w:hAnsi="Arial" w:cs="Arial"/>
                <w:color w:val="221F1F"/>
                <w:sz w:val="24"/>
                <w:lang w:eastAsia="en-GB" w:bidi="en-GB"/>
              </w:rPr>
              <w:t xml:space="preserve">Officer or </w:t>
            </w:r>
            <w:r w:rsidR="001759E7">
              <w:rPr>
                <w:rFonts w:ascii="Arial" w:eastAsia="Arial" w:hAnsi="Arial" w:cs="Arial"/>
                <w:color w:val="221F1F"/>
                <w:sz w:val="24"/>
                <w:lang w:eastAsia="en-GB" w:bidi="en-GB"/>
              </w:rPr>
              <w:t>Subc</w:t>
            </w:r>
            <w:r w:rsidR="001759E7" w:rsidRPr="00483085">
              <w:rPr>
                <w:rFonts w:ascii="Arial" w:eastAsia="Arial" w:hAnsi="Arial" w:cs="Arial"/>
                <w:color w:val="221F1F"/>
                <w:sz w:val="24"/>
                <w:lang w:eastAsia="en-GB" w:bidi="en-GB"/>
              </w:rPr>
              <w:t>ommittee</w:t>
            </w:r>
          </w:p>
        </w:tc>
      </w:tr>
      <w:tr w:rsidR="00194FF1" w:rsidRPr="00483085" w14:paraId="793B9897" w14:textId="77777777" w:rsidTr="001759E7">
        <w:trPr>
          <w:trHeight w:val="822"/>
        </w:trPr>
        <w:tc>
          <w:tcPr>
            <w:tcW w:w="6116" w:type="dxa"/>
            <w:gridSpan w:val="2"/>
          </w:tcPr>
          <w:p w14:paraId="0C6ABCEE" w14:textId="77777777" w:rsidR="00194FF1" w:rsidRPr="00483085" w:rsidRDefault="00194FF1" w:rsidP="00027EEC">
            <w:pPr>
              <w:widowControl w:val="0"/>
              <w:autoSpaceDE w:val="0"/>
              <w:autoSpaceDN w:val="0"/>
              <w:spacing w:after="0" w:line="276" w:lineRule="exact"/>
              <w:ind w:left="196" w:right="236"/>
              <w:rPr>
                <w:rFonts w:ascii="Arial" w:eastAsia="Arial" w:hAnsi="Arial" w:cs="Arial"/>
                <w:sz w:val="24"/>
                <w:lang w:eastAsia="en-GB" w:bidi="en-GB"/>
              </w:rPr>
            </w:pPr>
            <w:r w:rsidRPr="00483085">
              <w:rPr>
                <w:rFonts w:ascii="Arial" w:eastAsia="Arial" w:hAnsi="Arial" w:cs="Arial"/>
                <w:color w:val="221F1F"/>
                <w:sz w:val="24"/>
                <w:lang w:eastAsia="en-GB" w:bidi="en-GB"/>
              </w:rPr>
              <w:t>Schedule 3, paragraph 30 – determination of who is to have a third party right of appeal against decisions on routine and excepted applications</w:t>
            </w:r>
          </w:p>
        </w:tc>
        <w:tc>
          <w:tcPr>
            <w:tcW w:w="1984" w:type="dxa"/>
          </w:tcPr>
          <w:p w14:paraId="75DEA3B7" w14:textId="79F5A9D5" w:rsidR="00194FF1" w:rsidRPr="00483085" w:rsidRDefault="00194FF1" w:rsidP="00027EEC">
            <w:pPr>
              <w:widowControl w:val="0"/>
              <w:autoSpaceDE w:val="0"/>
              <w:autoSpaceDN w:val="0"/>
              <w:spacing w:after="0" w:line="240" w:lineRule="auto"/>
              <w:ind w:left="157" w:right="268"/>
              <w:rPr>
                <w:rFonts w:ascii="Arial" w:eastAsia="Arial" w:hAnsi="Arial" w:cs="Arial"/>
                <w:sz w:val="24"/>
                <w:lang w:eastAsia="en-GB" w:bidi="en-GB"/>
              </w:rPr>
            </w:pPr>
            <w:r w:rsidRPr="00483085">
              <w:rPr>
                <w:rFonts w:ascii="Arial" w:eastAsia="Arial" w:hAnsi="Arial" w:cs="Arial"/>
                <w:color w:val="221F1F"/>
                <w:sz w:val="24"/>
                <w:lang w:eastAsia="en-GB" w:bidi="en-GB"/>
              </w:rPr>
              <w:t xml:space="preserve">Officer or </w:t>
            </w:r>
            <w:r w:rsidR="001759E7">
              <w:rPr>
                <w:rFonts w:ascii="Arial" w:eastAsia="Arial" w:hAnsi="Arial" w:cs="Arial"/>
                <w:color w:val="221F1F"/>
                <w:sz w:val="24"/>
                <w:lang w:eastAsia="en-GB" w:bidi="en-GB"/>
              </w:rPr>
              <w:t>Subc</w:t>
            </w:r>
            <w:r w:rsidR="001759E7" w:rsidRPr="00483085">
              <w:rPr>
                <w:rFonts w:ascii="Arial" w:eastAsia="Arial" w:hAnsi="Arial" w:cs="Arial"/>
                <w:color w:val="221F1F"/>
                <w:sz w:val="24"/>
                <w:lang w:eastAsia="en-GB" w:bidi="en-GB"/>
              </w:rPr>
              <w:t>ommittee</w:t>
            </w:r>
          </w:p>
        </w:tc>
      </w:tr>
      <w:tr w:rsidR="00194FF1" w:rsidRPr="00483085" w14:paraId="6FA011D8" w14:textId="77777777" w:rsidTr="001759E7">
        <w:trPr>
          <w:trHeight w:val="1375"/>
        </w:trPr>
        <w:tc>
          <w:tcPr>
            <w:tcW w:w="6116" w:type="dxa"/>
            <w:gridSpan w:val="2"/>
          </w:tcPr>
          <w:p w14:paraId="7E59D575" w14:textId="77777777" w:rsidR="00194FF1" w:rsidRPr="00483085" w:rsidRDefault="00194FF1" w:rsidP="00027EEC">
            <w:pPr>
              <w:widowControl w:val="0"/>
              <w:autoSpaceDE w:val="0"/>
              <w:autoSpaceDN w:val="0"/>
              <w:spacing w:after="0" w:line="276" w:lineRule="exact"/>
              <w:ind w:left="196" w:right="78"/>
              <w:rPr>
                <w:rFonts w:ascii="Arial" w:eastAsia="Arial" w:hAnsi="Arial" w:cs="Arial"/>
                <w:sz w:val="24"/>
                <w:lang w:eastAsia="en-GB" w:bidi="en-GB"/>
              </w:rPr>
            </w:pPr>
            <w:r w:rsidRPr="00483085">
              <w:rPr>
                <w:rFonts w:ascii="Arial" w:eastAsia="Arial" w:hAnsi="Arial" w:cs="Arial"/>
                <w:color w:val="221F1F"/>
                <w:sz w:val="24"/>
                <w:lang w:eastAsia="en-GB" w:bidi="en-GB"/>
              </w:rPr>
              <w:t>Schedule 2, paragraph 31 – consideration of a notification of address following a 'best estimate' routine application. Where this may lead to a refusal under regulation 31, the matter should be escalated to the committee</w:t>
            </w:r>
          </w:p>
        </w:tc>
        <w:tc>
          <w:tcPr>
            <w:tcW w:w="1984" w:type="dxa"/>
          </w:tcPr>
          <w:p w14:paraId="575EEC67" w14:textId="0580EFAA" w:rsidR="00194FF1" w:rsidRPr="00483085" w:rsidRDefault="00194FF1" w:rsidP="00027EEC">
            <w:pPr>
              <w:widowControl w:val="0"/>
              <w:autoSpaceDE w:val="0"/>
              <w:autoSpaceDN w:val="0"/>
              <w:spacing w:after="0" w:line="240" w:lineRule="auto"/>
              <w:ind w:left="157" w:right="268"/>
              <w:rPr>
                <w:rFonts w:ascii="Arial" w:eastAsia="Arial" w:hAnsi="Arial" w:cs="Arial"/>
                <w:sz w:val="24"/>
                <w:lang w:eastAsia="en-GB" w:bidi="en-GB"/>
              </w:rPr>
            </w:pPr>
            <w:r w:rsidRPr="00483085">
              <w:rPr>
                <w:rFonts w:ascii="Arial" w:eastAsia="Arial" w:hAnsi="Arial" w:cs="Arial"/>
                <w:color w:val="221F1F"/>
                <w:sz w:val="24"/>
                <w:lang w:eastAsia="en-GB" w:bidi="en-GB"/>
              </w:rPr>
              <w:t xml:space="preserve">Officer or </w:t>
            </w:r>
            <w:r w:rsidR="001759E7">
              <w:rPr>
                <w:rFonts w:ascii="Arial" w:eastAsia="Arial" w:hAnsi="Arial" w:cs="Arial"/>
                <w:color w:val="221F1F"/>
                <w:sz w:val="24"/>
                <w:lang w:eastAsia="en-GB" w:bidi="en-GB"/>
              </w:rPr>
              <w:t>Subc</w:t>
            </w:r>
            <w:r w:rsidR="001759E7" w:rsidRPr="00483085">
              <w:rPr>
                <w:rFonts w:ascii="Arial" w:eastAsia="Arial" w:hAnsi="Arial" w:cs="Arial"/>
                <w:color w:val="221F1F"/>
                <w:sz w:val="24"/>
                <w:lang w:eastAsia="en-GB" w:bidi="en-GB"/>
              </w:rPr>
              <w:t>ommittee</w:t>
            </w:r>
          </w:p>
        </w:tc>
      </w:tr>
      <w:tr w:rsidR="00194FF1" w:rsidRPr="00483085" w14:paraId="1FE947C6" w14:textId="77777777" w:rsidTr="001759E7">
        <w:trPr>
          <w:trHeight w:val="547"/>
        </w:trPr>
        <w:tc>
          <w:tcPr>
            <w:tcW w:w="6116" w:type="dxa"/>
            <w:gridSpan w:val="2"/>
          </w:tcPr>
          <w:p w14:paraId="6AD970EB" w14:textId="77777777" w:rsidR="00194FF1" w:rsidRPr="00483085" w:rsidRDefault="00194FF1" w:rsidP="00027EEC">
            <w:pPr>
              <w:widowControl w:val="0"/>
              <w:autoSpaceDE w:val="0"/>
              <w:autoSpaceDN w:val="0"/>
              <w:spacing w:after="0" w:line="276" w:lineRule="exact"/>
              <w:ind w:left="196" w:right="62"/>
              <w:rPr>
                <w:rFonts w:ascii="Arial" w:eastAsia="Arial" w:hAnsi="Arial" w:cs="Arial"/>
                <w:sz w:val="24"/>
                <w:lang w:eastAsia="en-GB" w:bidi="en-GB"/>
              </w:rPr>
            </w:pPr>
            <w:r w:rsidRPr="00483085">
              <w:rPr>
                <w:rFonts w:ascii="Arial" w:eastAsia="Arial" w:hAnsi="Arial" w:cs="Arial"/>
                <w:color w:val="221F1F"/>
                <w:sz w:val="24"/>
                <w:lang w:eastAsia="en-GB" w:bidi="en-GB"/>
              </w:rPr>
              <w:t>Schedule 2, paragraph 32 – determination of whether to accept a change to premises</w:t>
            </w:r>
          </w:p>
        </w:tc>
        <w:tc>
          <w:tcPr>
            <w:tcW w:w="1984" w:type="dxa"/>
          </w:tcPr>
          <w:p w14:paraId="32CDE57A" w14:textId="1108E88A" w:rsidR="00194FF1" w:rsidRPr="00483085" w:rsidRDefault="00194FF1" w:rsidP="00027EEC">
            <w:pPr>
              <w:widowControl w:val="0"/>
              <w:autoSpaceDE w:val="0"/>
              <w:autoSpaceDN w:val="0"/>
              <w:spacing w:after="0" w:line="276" w:lineRule="exact"/>
              <w:ind w:left="157" w:right="268"/>
              <w:rPr>
                <w:rFonts w:ascii="Arial" w:eastAsia="Arial" w:hAnsi="Arial" w:cs="Arial"/>
                <w:sz w:val="24"/>
                <w:lang w:eastAsia="en-GB" w:bidi="en-GB"/>
              </w:rPr>
            </w:pPr>
            <w:r w:rsidRPr="00483085">
              <w:rPr>
                <w:rFonts w:ascii="Arial" w:eastAsia="Arial" w:hAnsi="Arial" w:cs="Arial"/>
                <w:color w:val="221F1F"/>
                <w:sz w:val="24"/>
                <w:lang w:eastAsia="en-GB" w:bidi="en-GB"/>
              </w:rPr>
              <w:t xml:space="preserve">Officer or </w:t>
            </w:r>
            <w:r w:rsidR="001759E7">
              <w:rPr>
                <w:rFonts w:ascii="Arial" w:eastAsia="Arial" w:hAnsi="Arial" w:cs="Arial"/>
                <w:color w:val="221F1F"/>
                <w:sz w:val="24"/>
                <w:lang w:eastAsia="en-GB" w:bidi="en-GB"/>
              </w:rPr>
              <w:t>Subc</w:t>
            </w:r>
            <w:r w:rsidR="001759E7" w:rsidRPr="00483085">
              <w:rPr>
                <w:rFonts w:ascii="Arial" w:eastAsia="Arial" w:hAnsi="Arial" w:cs="Arial"/>
                <w:color w:val="221F1F"/>
                <w:sz w:val="24"/>
                <w:lang w:eastAsia="en-GB" w:bidi="en-GB"/>
              </w:rPr>
              <w:t>ommittee</w:t>
            </w:r>
          </w:p>
        </w:tc>
      </w:tr>
      <w:tr w:rsidR="00194FF1" w:rsidRPr="00483085" w14:paraId="402F4495" w14:textId="77777777" w:rsidTr="001759E7">
        <w:trPr>
          <w:trHeight w:val="546"/>
        </w:trPr>
        <w:tc>
          <w:tcPr>
            <w:tcW w:w="6116" w:type="dxa"/>
            <w:gridSpan w:val="2"/>
          </w:tcPr>
          <w:p w14:paraId="53733139" w14:textId="77777777" w:rsidR="00194FF1" w:rsidRPr="00483085" w:rsidRDefault="00194FF1" w:rsidP="00027EEC">
            <w:pPr>
              <w:widowControl w:val="0"/>
              <w:autoSpaceDE w:val="0"/>
              <w:autoSpaceDN w:val="0"/>
              <w:spacing w:after="0" w:line="276" w:lineRule="exact"/>
              <w:ind w:left="196" w:right="9"/>
              <w:rPr>
                <w:rFonts w:ascii="Arial" w:eastAsia="Arial" w:hAnsi="Arial" w:cs="Arial"/>
                <w:sz w:val="24"/>
                <w:lang w:eastAsia="en-GB" w:bidi="en-GB"/>
              </w:rPr>
            </w:pPr>
            <w:r w:rsidRPr="00483085">
              <w:rPr>
                <w:rFonts w:ascii="Arial" w:eastAsia="Arial" w:hAnsi="Arial" w:cs="Arial"/>
                <w:color w:val="221F1F"/>
                <w:sz w:val="24"/>
                <w:lang w:eastAsia="en-GB" w:bidi="en-GB"/>
              </w:rPr>
              <w:t>Schedule 2, paragraph 33 – determination as to whether the future circumstances have arisen</w:t>
            </w:r>
          </w:p>
        </w:tc>
        <w:tc>
          <w:tcPr>
            <w:tcW w:w="1984" w:type="dxa"/>
          </w:tcPr>
          <w:p w14:paraId="05343DB0" w14:textId="77777777" w:rsidR="00194FF1" w:rsidRPr="00483085" w:rsidRDefault="00194FF1" w:rsidP="00027EEC">
            <w:pPr>
              <w:widowControl w:val="0"/>
              <w:autoSpaceDE w:val="0"/>
              <w:autoSpaceDN w:val="0"/>
              <w:spacing w:after="0" w:line="272" w:lineRule="exact"/>
              <w:ind w:left="157"/>
              <w:rPr>
                <w:rFonts w:ascii="Arial" w:eastAsia="Arial" w:hAnsi="Arial" w:cs="Arial"/>
                <w:sz w:val="24"/>
                <w:lang w:eastAsia="en-GB" w:bidi="en-GB"/>
              </w:rPr>
            </w:pPr>
            <w:r w:rsidRPr="00483085">
              <w:rPr>
                <w:rFonts w:ascii="Arial" w:eastAsia="Arial" w:hAnsi="Arial" w:cs="Arial"/>
                <w:color w:val="221F1F"/>
                <w:sz w:val="24"/>
                <w:lang w:eastAsia="en-GB" w:bidi="en-GB"/>
              </w:rPr>
              <w:t>Officer</w:t>
            </w:r>
          </w:p>
        </w:tc>
      </w:tr>
      <w:tr w:rsidR="00194FF1" w:rsidRPr="00483085" w14:paraId="0CF4BA34" w14:textId="77777777" w:rsidTr="001759E7">
        <w:trPr>
          <w:trHeight w:val="822"/>
        </w:trPr>
        <w:tc>
          <w:tcPr>
            <w:tcW w:w="6116" w:type="dxa"/>
            <w:gridSpan w:val="2"/>
          </w:tcPr>
          <w:p w14:paraId="7066D215" w14:textId="77777777" w:rsidR="00194FF1" w:rsidRPr="00483085" w:rsidRDefault="00194FF1" w:rsidP="00027EEC">
            <w:pPr>
              <w:widowControl w:val="0"/>
              <w:autoSpaceDE w:val="0"/>
              <w:autoSpaceDN w:val="0"/>
              <w:spacing w:after="0" w:line="272" w:lineRule="exact"/>
              <w:ind w:left="196"/>
              <w:rPr>
                <w:rFonts w:ascii="Arial" w:eastAsia="Arial" w:hAnsi="Arial" w:cs="Arial"/>
                <w:sz w:val="24"/>
                <w:lang w:eastAsia="en-GB" w:bidi="en-GB"/>
              </w:rPr>
            </w:pPr>
            <w:r w:rsidRPr="00483085">
              <w:rPr>
                <w:rFonts w:ascii="Arial" w:eastAsia="Arial" w:hAnsi="Arial" w:cs="Arial"/>
                <w:color w:val="221F1F"/>
                <w:sz w:val="24"/>
                <w:lang w:eastAsia="en-GB" w:bidi="en-GB"/>
              </w:rPr>
              <w:t>Schedule 2, paragraph 34 – decisions as to whether</w:t>
            </w:r>
          </w:p>
          <w:p w14:paraId="3396542F" w14:textId="77777777" w:rsidR="00194FF1" w:rsidRPr="00483085" w:rsidRDefault="00194FF1" w:rsidP="00027EEC">
            <w:pPr>
              <w:widowControl w:val="0"/>
              <w:autoSpaceDE w:val="0"/>
              <w:autoSpaceDN w:val="0"/>
              <w:spacing w:before="6" w:after="0" w:line="274" w:lineRule="exact"/>
              <w:ind w:left="196" w:right="570"/>
              <w:rPr>
                <w:rFonts w:ascii="Arial" w:eastAsia="Arial" w:hAnsi="Arial" w:cs="Arial"/>
                <w:sz w:val="24"/>
                <w:lang w:eastAsia="en-GB" w:bidi="en-GB"/>
              </w:rPr>
            </w:pPr>
            <w:r w:rsidRPr="00483085">
              <w:rPr>
                <w:rFonts w:ascii="Arial" w:eastAsia="Arial" w:hAnsi="Arial" w:cs="Arial"/>
                <w:color w:val="221F1F"/>
                <w:sz w:val="24"/>
                <w:lang w:eastAsia="en-GB" w:bidi="en-GB"/>
              </w:rPr>
              <w:t>notices of commencement are valid, and whether a shorter notice period can be given</w:t>
            </w:r>
          </w:p>
        </w:tc>
        <w:tc>
          <w:tcPr>
            <w:tcW w:w="1984" w:type="dxa"/>
          </w:tcPr>
          <w:p w14:paraId="29285FEC" w14:textId="77777777" w:rsidR="00194FF1" w:rsidRPr="00483085" w:rsidRDefault="00194FF1" w:rsidP="00027EEC">
            <w:pPr>
              <w:widowControl w:val="0"/>
              <w:autoSpaceDE w:val="0"/>
              <w:autoSpaceDN w:val="0"/>
              <w:spacing w:after="0" w:line="272" w:lineRule="exact"/>
              <w:ind w:left="157"/>
              <w:rPr>
                <w:rFonts w:ascii="Arial" w:eastAsia="Arial" w:hAnsi="Arial" w:cs="Arial"/>
                <w:sz w:val="24"/>
                <w:lang w:eastAsia="en-GB" w:bidi="en-GB"/>
              </w:rPr>
            </w:pPr>
            <w:r w:rsidRPr="00483085">
              <w:rPr>
                <w:rFonts w:ascii="Arial" w:eastAsia="Arial" w:hAnsi="Arial" w:cs="Arial"/>
                <w:color w:val="221F1F"/>
                <w:sz w:val="24"/>
                <w:lang w:eastAsia="en-GB" w:bidi="en-GB"/>
              </w:rPr>
              <w:t>Officer</w:t>
            </w:r>
          </w:p>
        </w:tc>
      </w:tr>
      <w:tr w:rsidR="00194FF1" w:rsidRPr="00483085" w14:paraId="6DED90DD" w14:textId="77777777" w:rsidTr="001759E7">
        <w:trPr>
          <w:trHeight w:val="825"/>
        </w:trPr>
        <w:tc>
          <w:tcPr>
            <w:tcW w:w="6116" w:type="dxa"/>
            <w:gridSpan w:val="2"/>
          </w:tcPr>
          <w:p w14:paraId="23980BB9" w14:textId="77777777" w:rsidR="00194FF1" w:rsidRPr="00483085" w:rsidRDefault="00194FF1" w:rsidP="00027EEC">
            <w:pPr>
              <w:widowControl w:val="0"/>
              <w:autoSpaceDE w:val="0"/>
              <w:autoSpaceDN w:val="0"/>
              <w:spacing w:after="0" w:line="274" w:lineRule="exact"/>
              <w:ind w:left="196"/>
              <w:rPr>
                <w:rFonts w:ascii="Arial" w:eastAsia="Arial" w:hAnsi="Arial" w:cs="Arial"/>
                <w:sz w:val="24"/>
                <w:lang w:eastAsia="en-GB" w:bidi="en-GB"/>
              </w:rPr>
            </w:pPr>
            <w:r w:rsidRPr="00483085">
              <w:rPr>
                <w:rFonts w:ascii="Arial" w:eastAsia="Arial" w:hAnsi="Arial" w:cs="Arial"/>
                <w:color w:val="221F1F"/>
                <w:sz w:val="24"/>
                <w:lang w:eastAsia="en-GB" w:bidi="en-GB"/>
              </w:rPr>
              <w:t>Schedule 2, paragraph 34A – decisions as to whether</w:t>
            </w:r>
          </w:p>
          <w:p w14:paraId="1B067FD7" w14:textId="77777777" w:rsidR="00194FF1" w:rsidRPr="00483085" w:rsidRDefault="00194FF1" w:rsidP="00027EEC">
            <w:pPr>
              <w:widowControl w:val="0"/>
              <w:autoSpaceDE w:val="0"/>
              <w:autoSpaceDN w:val="0"/>
              <w:spacing w:after="0" w:line="270" w:lineRule="atLeast"/>
              <w:ind w:left="196" w:right="63"/>
              <w:rPr>
                <w:rFonts w:ascii="Arial" w:eastAsia="Arial" w:hAnsi="Arial" w:cs="Arial"/>
                <w:sz w:val="24"/>
                <w:lang w:eastAsia="en-GB" w:bidi="en-GB"/>
              </w:rPr>
            </w:pPr>
            <w:r w:rsidRPr="00483085">
              <w:rPr>
                <w:rFonts w:ascii="Arial" w:eastAsia="Arial" w:hAnsi="Arial" w:cs="Arial"/>
                <w:color w:val="221F1F"/>
                <w:sz w:val="24"/>
                <w:lang w:eastAsia="en-GB" w:bidi="en-GB"/>
              </w:rPr>
              <w:t>notices of consolidation are valid, and whether a shorter notice period can be given</w:t>
            </w:r>
          </w:p>
        </w:tc>
        <w:tc>
          <w:tcPr>
            <w:tcW w:w="1984" w:type="dxa"/>
          </w:tcPr>
          <w:p w14:paraId="63632775" w14:textId="77777777" w:rsidR="00194FF1" w:rsidRPr="00483085" w:rsidRDefault="00194FF1" w:rsidP="00027EEC">
            <w:pPr>
              <w:widowControl w:val="0"/>
              <w:autoSpaceDE w:val="0"/>
              <w:autoSpaceDN w:val="0"/>
              <w:spacing w:after="0" w:line="274" w:lineRule="exact"/>
              <w:ind w:left="157"/>
              <w:rPr>
                <w:rFonts w:ascii="Arial" w:eastAsia="Arial" w:hAnsi="Arial" w:cs="Arial"/>
                <w:sz w:val="24"/>
                <w:lang w:eastAsia="en-GB" w:bidi="en-GB"/>
              </w:rPr>
            </w:pPr>
            <w:r w:rsidRPr="00483085">
              <w:rPr>
                <w:rFonts w:ascii="Arial" w:eastAsia="Arial" w:hAnsi="Arial" w:cs="Arial"/>
                <w:color w:val="221F1F"/>
                <w:sz w:val="24"/>
                <w:lang w:eastAsia="en-GB" w:bidi="en-GB"/>
              </w:rPr>
              <w:t>Officer</w:t>
            </w:r>
          </w:p>
        </w:tc>
      </w:tr>
      <w:tr w:rsidR="00194FF1" w:rsidRPr="00483085" w14:paraId="4CCB57B8" w14:textId="77777777" w:rsidTr="001759E7">
        <w:trPr>
          <w:trHeight w:val="827"/>
        </w:trPr>
        <w:tc>
          <w:tcPr>
            <w:tcW w:w="6116" w:type="dxa"/>
            <w:gridSpan w:val="2"/>
          </w:tcPr>
          <w:p w14:paraId="4DDB5490" w14:textId="77777777" w:rsidR="00194FF1" w:rsidRPr="00483085" w:rsidRDefault="00194FF1" w:rsidP="00027EEC">
            <w:pPr>
              <w:widowControl w:val="0"/>
              <w:autoSpaceDE w:val="0"/>
              <w:autoSpaceDN w:val="0"/>
              <w:spacing w:after="0" w:line="270" w:lineRule="atLeast"/>
              <w:ind w:left="196" w:right="490"/>
              <w:rPr>
                <w:rFonts w:ascii="Arial" w:eastAsia="Arial" w:hAnsi="Arial" w:cs="Arial"/>
                <w:sz w:val="24"/>
                <w:lang w:eastAsia="en-GB" w:bidi="en-GB"/>
              </w:rPr>
            </w:pPr>
            <w:r w:rsidRPr="00483085">
              <w:rPr>
                <w:rFonts w:ascii="Arial" w:eastAsia="Arial" w:hAnsi="Arial" w:cs="Arial"/>
                <w:color w:val="221F1F"/>
                <w:sz w:val="24"/>
                <w:lang w:eastAsia="en-GB" w:bidi="en-GB"/>
              </w:rPr>
              <w:lastRenderedPageBreak/>
              <w:t>Schedule 2, paragraph 34(4)(c)(i) and 34A(4)(b)(i) – extension of latest date for receipt of notice of commencement or consolidation</w:t>
            </w:r>
          </w:p>
        </w:tc>
        <w:tc>
          <w:tcPr>
            <w:tcW w:w="1984" w:type="dxa"/>
          </w:tcPr>
          <w:p w14:paraId="7247EFE7" w14:textId="755B1E11" w:rsidR="00194FF1" w:rsidRPr="00483085" w:rsidRDefault="00194FF1" w:rsidP="00027EEC">
            <w:pPr>
              <w:widowControl w:val="0"/>
              <w:autoSpaceDE w:val="0"/>
              <w:autoSpaceDN w:val="0"/>
              <w:spacing w:after="0" w:line="240" w:lineRule="auto"/>
              <w:ind w:left="157" w:right="268"/>
              <w:rPr>
                <w:rFonts w:ascii="Arial" w:eastAsia="Arial" w:hAnsi="Arial" w:cs="Arial"/>
                <w:sz w:val="24"/>
                <w:lang w:eastAsia="en-GB" w:bidi="en-GB"/>
              </w:rPr>
            </w:pPr>
            <w:r w:rsidRPr="00483085">
              <w:rPr>
                <w:rFonts w:ascii="Arial" w:eastAsia="Arial" w:hAnsi="Arial" w:cs="Arial"/>
                <w:color w:val="221F1F"/>
                <w:sz w:val="24"/>
                <w:lang w:eastAsia="en-GB" w:bidi="en-GB"/>
              </w:rPr>
              <w:t xml:space="preserve">Officer or </w:t>
            </w:r>
            <w:r w:rsidR="001759E7">
              <w:rPr>
                <w:rFonts w:ascii="Arial" w:eastAsia="Arial" w:hAnsi="Arial" w:cs="Arial"/>
                <w:color w:val="221F1F"/>
                <w:sz w:val="24"/>
                <w:lang w:eastAsia="en-GB" w:bidi="en-GB"/>
              </w:rPr>
              <w:t>Subc</w:t>
            </w:r>
            <w:r w:rsidR="001759E7" w:rsidRPr="00483085">
              <w:rPr>
                <w:rFonts w:ascii="Arial" w:eastAsia="Arial" w:hAnsi="Arial" w:cs="Arial"/>
                <w:color w:val="221F1F"/>
                <w:sz w:val="24"/>
                <w:lang w:eastAsia="en-GB" w:bidi="en-GB"/>
              </w:rPr>
              <w:t>ommittee</w:t>
            </w:r>
          </w:p>
        </w:tc>
      </w:tr>
      <w:tr w:rsidR="00194FF1" w:rsidRPr="00483085" w14:paraId="0151EFEC" w14:textId="77777777" w:rsidTr="001759E7">
        <w:trPr>
          <w:trHeight w:val="561"/>
        </w:trPr>
        <w:tc>
          <w:tcPr>
            <w:tcW w:w="6116" w:type="dxa"/>
            <w:gridSpan w:val="2"/>
            <w:tcBorders>
              <w:top w:val="nil"/>
              <w:left w:val="nil"/>
              <w:bottom w:val="nil"/>
              <w:right w:val="nil"/>
            </w:tcBorders>
            <w:shd w:val="clear" w:color="auto" w:fill="1C6CB4"/>
          </w:tcPr>
          <w:p w14:paraId="4DF70847" w14:textId="77777777" w:rsidR="00194FF1" w:rsidRPr="00483085" w:rsidRDefault="00194FF1" w:rsidP="00027EEC">
            <w:pPr>
              <w:widowControl w:val="0"/>
              <w:autoSpaceDE w:val="0"/>
              <w:autoSpaceDN w:val="0"/>
              <w:spacing w:after="0" w:line="240" w:lineRule="auto"/>
              <w:ind w:left="196"/>
              <w:rPr>
                <w:rFonts w:ascii="Arial" w:eastAsia="Arial" w:hAnsi="Arial" w:cs="Arial"/>
                <w:b/>
                <w:sz w:val="24"/>
                <w:lang w:eastAsia="en-GB" w:bidi="en-GB"/>
              </w:rPr>
            </w:pPr>
            <w:r w:rsidRPr="00483085">
              <w:rPr>
                <w:rFonts w:ascii="Arial" w:eastAsia="Arial" w:hAnsi="Arial" w:cs="Arial"/>
                <w:b/>
                <w:color w:val="FFFFFF"/>
                <w:sz w:val="24"/>
                <w:lang w:eastAsia="en-GB" w:bidi="en-GB"/>
              </w:rPr>
              <w:t>Regulatory provision</w:t>
            </w:r>
          </w:p>
        </w:tc>
        <w:tc>
          <w:tcPr>
            <w:tcW w:w="1984" w:type="dxa"/>
            <w:tcBorders>
              <w:top w:val="nil"/>
              <w:left w:val="nil"/>
              <w:bottom w:val="nil"/>
              <w:right w:val="nil"/>
            </w:tcBorders>
            <w:shd w:val="clear" w:color="auto" w:fill="1C6CB4"/>
          </w:tcPr>
          <w:p w14:paraId="19057478" w14:textId="77777777" w:rsidR="00194FF1" w:rsidRPr="00483085" w:rsidRDefault="00194FF1" w:rsidP="00027EEC">
            <w:pPr>
              <w:widowControl w:val="0"/>
              <w:autoSpaceDE w:val="0"/>
              <w:autoSpaceDN w:val="0"/>
              <w:spacing w:after="0" w:line="270" w:lineRule="atLeast"/>
              <w:ind w:left="157" w:right="304"/>
              <w:rPr>
                <w:rFonts w:ascii="Arial" w:eastAsia="Arial" w:hAnsi="Arial" w:cs="Arial"/>
                <w:b/>
                <w:sz w:val="24"/>
                <w:lang w:eastAsia="en-GB" w:bidi="en-GB"/>
              </w:rPr>
            </w:pPr>
            <w:r w:rsidRPr="00483085">
              <w:rPr>
                <w:rFonts w:ascii="Arial" w:eastAsia="Arial" w:hAnsi="Arial" w:cs="Arial"/>
                <w:b/>
                <w:color w:val="FFFFFF"/>
                <w:sz w:val="24"/>
                <w:lang w:eastAsia="en-GB" w:bidi="en-GB"/>
              </w:rPr>
              <w:t>Decision- maker</w:t>
            </w:r>
          </w:p>
        </w:tc>
      </w:tr>
      <w:tr w:rsidR="00194FF1" w:rsidRPr="00483085" w14:paraId="0F47147C" w14:textId="77777777" w:rsidTr="001759E7">
        <w:trPr>
          <w:trHeight w:val="551"/>
        </w:trPr>
        <w:tc>
          <w:tcPr>
            <w:tcW w:w="6116" w:type="dxa"/>
            <w:gridSpan w:val="2"/>
            <w:tcBorders>
              <w:top w:val="nil"/>
            </w:tcBorders>
          </w:tcPr>
          <w:p w14:paraId="3F6DD96C" w14:textId="77777777" w:rsidR="00194FF1" w:rsidRPr="00483085" w:rsidRDefault="00194FF1" w:rsidP="00027EEC">
            <w:pPr>
              <w:widowControl w:val="0"/>
              <w:autoSpaceDE w:val="0"/>
              <w:autoSpaceDN w:val="0"/>
              <w:spacing w:after="0" w:line="270" w:lineRule="atLeast"/>
              <w:ind w:left="196" w:right="929"/>
              <w:rPr>
                <w:rFonts w:ascii="Arial" w:eastAsia="Arial" w:hAnsi="Arial" w:cs="Arial"/>
                <w:sz w:val="24"/>
                <w:lang w:eastAsia="en-GB" w:bidi="en-GB"/>
              </w:rPr>
            </w:pPr>
            <w:r w:rsidRPr="00483085">
              <w:rPr>
                <w:rFonts w:ascii="Arial" w:eastAsia="Arial" w:hAnsi="Arial" w:cs="Arial"/>
                <w:color w:val="221F1F"/>
                <w:sz w:val="24"/>
                <w:lang w:eastAsia="en-GB" w:bidi="en-GB"/>
              </w:rPr>
              <w:t>Schedule 2, paragraph 35 – notice requiring the commencement of pharmaceutical services</w:t>
            </w:r>
          </w:p>
        </w:tc>
        <w:tc>
          <w:tcPr>
            <w:tcW w:w="1984" w:type="dxa"/>
            <w:tcBorders>
              <w:top w:val="nil"/>
            </w:tcBorders>
          </w:tcPr>
          <w:p w14:paraId="743ACFE9" w14:textId="07C7212F" w:rsidR="00194FF1" w:rsidRPr="00483085" w:rsidRDefault="00194FF1" w:rsidP="00027EEC">
            <w:pPr>
              <w:widowControl w:val="0"/>
              <w:autoSpaceDE w:val="0"/>
              <w:autoSpaceDN w:val="0"/>
              <w:spacing w:after="0" w:line="270" w:lineRule="atLeast"/>
              <w:ind w:left="157" w:right="268"/>
              <w:rPr>
                <w:rFonts w:ascii="Arial" w:eastAsia="Arial" w:hAnsi="Arial" w:cs="Arial"/>
                <w:sz w:val="24"/>
                <w:lang w:eastAsia="en-GB" w:bidi="en-GB"/>
              </w:rPr>
            </w:pPr>
            <w:r w:rsidRPr="00483085">
              <w:rPr>
                <w:rFonts w:ascii="Arial" w:eastAsia="Arial" w:hAnsi="Arial" w:cs="Arial"/>
                <w:color w:val="221F1F"/>
                <w:sz w:val="24"/>
                <w:lang w:eastAsia="en-GB" w:bidi="en-GB"/>
              </w:rPr>
              <w:t xml:space="preserve">Officer or </w:t>
            </w:r>
            <w:r w:rsidR="001759E7">
              <w:rPr>
                <w:rFonts w:ascii="Arial" w:eastAsia="Arial" w:hAnsi="Arial" w:cs="Arial"/>
                <w:color w:val="221F1F"/>
                <w:sz w:val="24"/>
                <w:lang w:eastAsia="en-GB" w:bidi="en-GB"/>
              </w:rPr>
              <w:t>Subc</w:t>
            </w:r>
            <w:r w:rsidR="001759E7" w:rsidRPr="00483085">
              <w:rPr>
                <w:rFonts w:ascii="Arial" w:eastAsia="Arial" w:hAnsi="Arial" w:cs="Arial"/>
                <w:color w:val="221F1F"/>
                <w:sz w:val="24"/>
                <w:lang w:eastAsia="en-GB" w:bidi="en-GB"/>
              </w:rPr>
              <w:t>ommittee</w:t>
            </w:r>
          </w:p>
        </w:tc>
      </w:tr>
      <w:tr w:rsidR="001759E7" w:rsidRPr="00483085" w14:paraId="38070346" w14:textId="77777777" w:rsidTr="001759E7">
        <w:trPr>
          <w:trHeight w:val="829"/>
        </w:trPr>
        <w:tc>
          <w:tcPr>
            <w:tcW w:w="6116" w:type="dxa"/>
            <w:gridSpan w:val="2"/>
          </w:tcPr>
          <w:p w14:paraId="34E98FD2" w14:textId="77777777" w:rsidR="001759E7" w:rsidRPr="00483085" w:rsidRDefault="001759E7" w:rsidP="001759E7">
            <w:pPr>
              <w:widowControl w:val="0"/>
              <w:autoSpaceDE w:val="0"/>
              <w:autoSpaceDN w:val="0"/>
              <w:spacing w:before="1" w:after="0" w:line="270" w:lineRule="atLeast"/>
              <w:ind w:left="196" w:right="449"/>
              <w:rPr>
                <w:rFonts w:ascii="Arial" w:eastAsia="Arial" w:hAnsi="Arial" w:cs="Arial"/>
                <w:sz w:val="24"/>
                <w:lang w:eastAsia="en-GB" w:bidi="en-GB"/>
              </w:rPr>
            </w:pPr>
            <w:r w:rsidRPr="00483085">
              <w:rPr>
                <w:rFonts w:ascii="Arial" w:eastAsia="Arial" w:hAnsi="Arial" w:cs="Arial"/>
                <w:color w:val="221F1F"/>
                <w:sz w:val="24"/>
                <w:lang w:eastAsia="en-GB" w:bidi="en-GB"/>
              </w:rPr>
              <w:t>Schedule 4, paragraph 23(1)/Schedule 5, paragraph 13(1) – consideration of a request to temporarily suspend the provision of services (fixed period)</w:t>
            </w:r>
          </w:p>
        </w:tc>
        <w:tc>
          <w:tcPr>
            <w:tcW w:w="1984" w:type="dxa"/>
          </w:tcPr>
          <w:p w14:paraId="7F3F3CA8" w14:textId="24D36674" w:rsidR="001759E7" w:rsidRPr="00483085" w:rsidRDefault="001759E7" w:rsidP="001759E7">
            <w:pPr>
              <w:widowControl w:val="0"/>
              <w:autoSpaceDE w:val="0"/>
              <w:autoSpaceDN w:val="0"/>
              <w:spacing w:before="1" w:after="0" w:line="240" w:lineRule="auto"/>
              <w:ind w:left="157"/>
              <w:rPr>
                <w:rFonts w:ascii="Arial" w:eastAsia="Arial" w:hAnsi="Arial" w:cs="Arial"/>
                <w:sz w:val="24"/>
                <w:lang w:eastAsia="en-GB" w:bidi="en-GB"/>
              </w:rPr>
            </w:pPr>
            <w:r w:rsidRPr="00D8549A">
              <w:rPr>
                <w:rFonts w:ascii="Arial" w:eastAsia="Arial" w:hAnsi="Arial" w:cs="Arial"/>
                <w:color w:val="221F1F"/>
                <w:sz w:val="24"/>
                <w:lang w:eastAsia="en-GB" w:bidi="en-GB"/>
              </w:rPr>
              <w:t>Subcommittee</w:t>
            </w:r>
          </w:p>
        </w:tc>
      </w:tr>
      <w:tr w:rsidR="001759E7" w:rsidRPr="00483085" w14:paraId="45B35ED6" w14:textId="77777777" w:rsidTr="001759E7">
        <w:trPr>
          <w:trHeight w:val="827"/>
        </w:trPr>
        <w:tc>
          <w:tcPr>
            <w:tcW w:w="6116" w:type="dxa"/>
            <w:gridSpan w:val="2"/>
          </w:tcPr>
          <w:p w14:paraId="00157338" w14:textId="77777777" w:rsidR="001759E7" w:rsidRPr="00483085" w:rsidRDefault="001759E7" w:rsidP="001759E7">
            <w:pPr>
              <w:widowControl w:val="0"/>
              <w:autoSpaceDE w:val="0"/>
              <w:autoSpaceDN w:val="0"/>
              <w:spacing w:after="0" w:line="270" w:lineRule="atLeast"/>
              <w:ind w:left="196" w:right="9"/>
              <w:rPr>
                <w:rFonts w:ascii="Arial" w:eastAsia="Arial" w:hAnsi="Arial" w:cs="Arial"/>
                <w:sz w:val="24"/>
                <w:lang w:eastAsia="en-GB" w:bidi="en-GB"/>
              </w:rPr>
            </w:pPr>
            <w:r w:rsidRPr="00483085">
              <w:rPr>
                <w:rFonts w:ascii="Arial" w:eastAsia="Arial" w:hAnsi="Arial" w:cs="Arial"/>
                <w:color w:val="221F1F"/>
                <w:sz w:val="24"/>
                <w:lang w:eastAsia="en-GB" w:bidi="en-GB"/>
              </w:rPr>
              <w:t>Schedule 4, paragraphs 23–25/Schedule 5, paragraphs 13–15 – decision to direct a contractor to open at certain times on certain days</w:t>
            </w:r>
          </w:p>
        </w:tc>
        <w:tc>
          <w:tcPr>
            <w:tcW w:w="1984" w:type="dxa"/>
          </w:tcPr>
          <w:p w14:paraId="51F1D634" w14:textId="069546BE" w:rsidR="001759E7" w:rsidRPr="00483085" w:rsidRDefault="001759E7" w:rsidP="001759E7">
            <w:pPr>
              <w:widowControl w:val="0"/>
              <w:autoSpaceDE w:val="0"/>
              <w:autoSpaceDN w:val="0"/>
              <w:spacing w:after="0" w:line="240" w:lineRule="auto"/>
              <w:ind w:left="157"/>
              <w:rPr>
                <w:rFonts w:ascii="Arial" w:eastAsia="Arial" w:hAnsi="Arial" w:cs="Arial"/>
                <w:sz w:val="24"/>
                <w:lang w:eastAsia="en-GB" w:bidi="en-GB"/>
              </w:rPr>
            </w:pPr>
            <w:r w:rsidRPr="00D8549A">
              <w:rPr>
                <w:rFonts w:ascii="Arial" w:eastAsia="Arial" w:hAnsi="Arial" w:cs="Arial"/>
                <w:color w:val="221F1F"/>
                <w:sz w:val="24"/>
                <w:lang w:eastAsia="en-GB" w:bidi="en-GB"/>
              </w:rPr>
              <w:t>Subcommittee</w:t>
            </w:r>
          </w:p>
        </w:tc>
      </w:tr>
      <w:tr w:rsidR="001759E7" w:rsidRPr="00483085" w14:paraId="70F66C3B" w14:textId="77777777" w:rsidTr="001759E7">
        <w:trPr>
          <w:trHeight w:val="827"/>
        </w:trPr>
        <w:tc>
          <w:tcPr>
            <w:tcW w:w="6116" w:type="dxa"/>
            <w:gridSpan w:val="2"/>
          </w:tcPr>
          <w:p w14:paraId="0D4A05F9" w14:textId="77777777" w:rsidR="001759E7" w:rsidRPr="00483085" w:rsidRDefault="001759E7" w:rsidP="001759E7">
            <w:pPr>
              <w:widowControl w:val="0"/>
              <w:autoSpaceDE w:val="0"/>
              <w:autoSpaceDN w:val="0"/>
              <w:spacing w:after="0" w:line="240" w:lineRule="auto"/>
              <w:ind w:left="196"/>
              <w:rPr>
                <w:rFonts w:ascii="Arial" w:eastAsia="Arial" w:hAnsi="Arial" w:cs="Arial"/>
                <w:sz w:val="24"/>
                <w:lang w:eastAsia="en-GB" w:bidi="en-GB"/>
              </w:rPr>
            </w:pPr>
            <w:r w:rsidRPr="00483085">
              <w:rPr>
                <w:rFonts w:ascii="Arial" w:eastAsia="Arial" w:hAnsi="Arial" w:cs="Arial"/>
                <w:color w:val="221F1F"/>
                <w:sz w:val="24"/>
                <w:lang w:eastAsia="en-GB" w:bidi="en-GB"/>
              </w:rPr>
              <w:t>Schedule 4, paragraph 23(10)/Schedule 5, paragraph 9</w:t>
            </w:r>
          </w:p>
          <w:p w14:paraId="6BD3C6D8" w14:textId="77777777" w:rsidR="001759E7" w:rsidRPr="00483085" w:rsidRDefault="001759E7" w:rsidP="001759E7">
            <w:pPr>
              <w:widowControl w:val="0"/>
              <w:autoSpaceDE w:val="0"/>
              <w:autoSpaceDN w:val="0"/>
              <w:spacing w:after="0" w:line="270" w:lineRule="atLeast"/>
              <w:ind w:left="196" w:right="183"/>
              <w:rPr>
                <w:rFonts w:ascii="Arial" w:eastAsia="Arial" w:hAnsi="Arial" w:cs="Arial"/>
                <w:sz w:val="24"/>
                <w:lang w:eastAsia="en-GB" w:bidi="en-GB"/>
              </w:rPr>
            </w:pPr>
            <w:r w:rsidRPr="00483085">
              <w:rPr>
                <w:rFonts w:ascii="Arial" w:eastAsia="Arial" w:hAnsi="Arial" w:cs="Arial"/>
                <w:color w:val="221F1F"/>
                <w:sz w:val="24"/>
                <w:lang w:eastAsia="en-GB" w:bidi="en-GB"/>
              </w:rPr>
              <w:t>– review of reason for temporary suspension within the control of the contractor</w:t>
            </w:r>
          </w:p>
        </w:tc>
        <w:tc>
          <w:tcPr>
            <w:tcW w:w="1984" w:type="dxa"/>
          </w:tcPr>
          <w:p w14:paraId="36803ECF" w14:textId="2D9C07E6" w:rsidR="001759E7" w:rsidRPr="00483085" w:rsidRDefault="001759E7" w:rsidP="001759E7">
            <w:pPr>
              <w:widowControl w:val="0"/>
              <w:autoSpaceDE w:val="0"/>
              <w:autoSpaceDN w:val="0"/>
              <w:spacing w:after="0" w:line="240" w:lineRule="auto"/>
              <w:ind w:left="157"/>
              <w:rPr>
                <w:rFonts w:ascii="Arial" w:eastAsia="Arial" w:hAnsi="Arial" w:cs="Arial"/>
                <w:sz w:val="24"/>
                <w:lang w:eastAsia="en-GB" w:bidi="en-GB"/>
              </w:rPr>
            </w:pPr>
            <w:r w:rsidRPr="00D8549A">
              <w:rPr>
                <w:rFonts w:ascii="Arial" w:eastAsia="Arial" w:hAnsi="Arial" w:cs="Arial"/>
                <w:color w:val="221F1F"/>
                <w:sz w:val="24"/>
                <w:lang w:eastAsia="en-GB" w:bidi="en-GB"/>
              </w:rPr>
              <w:t>Subcommittee</w:t>
            </w:r>
          </w:p>
        </w:tc>
      </w:tr>
      <w:tr w:rsidR="001759E7" w:rsidRPr="00483085" w14:paraId="05CED802" w14:textId="77777777" w:rsidTr="001759E7">
        <w:trPr>
          <w:trHeight w:val="826"/>
        </w:trPr>
        <w:tc>
          <w:tcPr>
            <w:tcW w:w="6116" w:type="dxa"/>
            <w:gridSpan w:val="2"/>
          </w:tcPr>
          <w:p w14:paraId="38A2F5E4" w14:textId="77777777" w:rsidR="001759E7" w:rsidRPr="00483085" w:rsidRDefault="001759E7" w:rsidP="001759E7">
            <w:pPr>
              <w:widowControl w:val="0"/>
              <w:autoSpaceDE w:val="0"/>
              <w:autoSpaceDN w:val="0"/>
              <w:spacing w:before="4" w:after="0" w:line="276" w:lineRule="exact"/>
              <w:ind w:left="196" w:right="208"/>
              <w:rPr>
                <w:rFonts w:ascii="Arial" w:eastAsia="Arial" w:hAnsi="Arial" w:cs="Arial"/>
                <w:sz w:val="24"/>
                <w:lang w:eastAsia="en-GB" w:bidi="en-GB"/>
              </w:rPr>
            </w:pPr>
            <w:r w:rsidRPr="00483085">
              <w:rPr>
                <w:rFonts w:ascii="Arial" w:eastAsia="Arial" w:hAnsi="Arial" w:cs="Arial"/>
                <w:color w:val="221F1F"/>
                <w:sz w:val="24"/>
                <w:lang w:eastAsia="en-GB" w:bidi="en-GB"/>
              </w:rPr>
              <w:t>Schedule 4, paragraph 26/Schedule 5, paragraph 16 – determination of core opening hours instigated by the contractor</w:t>
            </w:r>
          </w:p>
        </w:tc>
        <w:tc>
          <w:tcPr>
            <w:tcW w:w="1984" w:type="dxa"/>
          </w:tcPr>
          <w:p w14:paraId="5EBFF961" w14:textId="3B329E09" w:rsidR="001759E7" w:rsidRPr="00483085" w:rsidRDefault="001759E7" w:rsidP="001759E7">
            <w:pPr>
              <w:widowControl w:val="0"/>
              <w:autoSpaceDE w:val="0"/>
              <w:autoSpaceDN w:val="0"/>
              <w:spacing w:after="0" w:line="276" w:lineRule="exact"/>
              <w:ind w:left="157"/>
              <w:rPr>
                <w:rFonts w:ascii="Arial" w:eastAsia="Arial" w:hAnsi="Arial" w:cs="Arial"/>
                <w:sz w:val="24"/>
                <w:lang w:eastAsia="en-GB" w:bidi="en-GB"/>
              </w:rPr>
            </w:pPr>
            <w:r w:rsidRPr="00D8549A">
              <w:rPr>
                <w:rFonts w:ascii="Arial" w:eastAsia="Arial" w:hAnsi="Arial" w:cs="Arial"/>
                <w:color w:val="221F1F"/>
                <w:sz w:val="24"/>
                <w:lang w:eastAsia="en-GB" w:bidi="en-GB"/>
              </w:rPr>
              <w:t>Subcommittee</w:t>
            </w:r>
          </w:p>
        </w:tc>
      </w:tr>
      <w:tr w:rsidR="00194FF1" w:rsidRPr="00483085" w14:paraId="1136C3CB" w14:textId="77777777" w:rsidTr="001759E7">
        <w:trPr>
          <w:trHeight w:val="1099"/>
        </w:trPr>
        <w:tc>
          <w:tcPr>
            <w:tcW w:w="6116" w:type="dxa"/>
            <w:gridSpan w:val="2"/>
          </w:tcPr>
          <w:p w14:paraId="6B416911" w14:textId="77777777" w:rsidR="00194FF1" w:rsidRPr="00483085" w:rsidRDefault="00194FF1" w:rsidP="00027EEC">
            <w:pPr>
              <w:widowControl w:val="0"/>
              <w:autoSpaceDE w:val="0"/>
              <w:autoSpaceDN w:val="0"/>
              <w:spacing w:after="0" w:line="276" w:lineRule="exact"/>
              <w:ind w:left="196" w:right="208"/>
              <w:rPr>
                <w:rFonts w:ascii="Arial" w:eastAsia="Arial" w:hAnsi="Arial" w:cs="Arial"/>
                <w:sz w:val="24"/>
                <w:lang w:eastAsia="en-GB" w:bidi="en-GB"/>
              </w:rPr>
            </w:pPr>
            <w:r w:rsidRPr="00483085">
              <w:rPr>
                <w:rFonts w:ascii="Arial" w:eastAsia="Arial" w:hAnsi="Arial" w:cs="Arial"/>
                <w:color w:val="221F1F"/>
                <w:sz w:val="24"/>
                <w:lang w:eastAsia="en-GB" w:bidi="en-GB"/>
              </w:rPr>
              <w:t>Schedule 4, paragraph 27/Schedule 5, paragraph 17 – temporary opening hours and closures during an emergency requiring the flexible provision or pharmaceutical services</w:t>
            </w:r>
          </w:p>
        </w:tc>
        <w:tc>
          <w:tcPr>
            <w:tcW w:w="1984" w:type="dxa"/>
          </w:tcPr>
          <w:p w14:paraId="47688EB0" w14:textId="46801539" w:rsidR="00194FF1" w:rsidRPr="00483085" w:rsidRDefault="00194FF1" w:rsidP="00027EEC">
            <w:pPr>
              <w:widowControl w:val="0"/>
              <w:autoSpaceDE w:val="0"/>
              <w:autoSpaceDN w:val="0"/>
              <w:spacing w:after="0" w:line="240" w:lineRule="auto"/>
              <w:ind w:left="157" w:right="268"/>
              <w:rPr>
                <w:rFonts w:ascii="Arial" w:eastAsia="Arial" w:hAnsi="Arial" w:cs="Arial"/>
                <w:sz w:val="24"/>
                <w:lang w:eastAsia="en-GB" w:bidi="en-GB"/>
              </w:rPr>
            </w:pPr>
            <w:r w:rsidRPr="00483085">
              <w:rPr>
                <w:rFonts w:ascii="Arial" w:eastAsia="Arial" w:hAnsi="Arial" w:cs="Arial"/>
                <w:color w:val="221F1F"/>
                <w:sz w:val="24"/>
                <w:lang w:eastAsia="en-GB" w:bidi="en-GB"/>
              </w:rPr>
              <w:t xml:space="preserve">Officer or </w:t>
            </w:r>
            <w:r w:rsidR="001759E7">
              <w:rPr>
                <w:rFonts w:ascii="Arial" w:eastAsia="Arial" w:hAnsi="Arial" w:cs="Arial"/>
                <w:color w:val="221F1F"/>
                <w:sz w:val="24"/>
                <w:lang w:eastAsia="en-GB" w:bidi="en-GB"/>
              </w:rPr>
              <w:t>Subc</w:t>
            </w:r>
            <w:r w:rsidR="001759E7" w:rsidRPr="00483085">
              <w:rPr>
                <w:rFonts w:ascii="Arial" w:eastAsia="Arial" w:hAnsi="Arial" w:cs="Arial"/>
                <w:color w:val="221F1F"/>
                <w:sz w:val="24"/>
                <w:lang w:eastAsia="en-GB" w:bidi="en-GB"/>
              </w:rPr>
              <w:t>ommittee</w:t>
            </w:r>
          </w:p>
        </w:tc>
      </w:tr>
      <w:tr w:rsidR="00194FF1" w:rsidRPr="00483085" w14:paraId="03E5A220" w14:textId="77777777" w:rsidTr="001759E7">
        <w:trPr>
          <w:trHeight w:val="547"/>
        </w:trPr>
        <w:tc>
          <w:tcPr>
            <w:tcW w:w="6116" w:type="dxa"/>
            <w:gridSpan w:val="2"/>
          </w:tcPr>
          <w:p w14:paraId="7D01EBA7" w14:textId="77777777" w:rsidR="00194FF1" w:rsidRPr="00483085" w:rsidRDefault="00194FF1" w:rsidP="00027EEC">
            <w:pPr>
              <w:widowControl w:val="0"/>
              <w:autoSpaceDE w:val="0"/>
              <w:autoSpaceDN w:val="0"/>
              <w:spacing w:after="0" w:line="276" w:lineRule="exact"/>
              <w:ind w:left="196" w:right="677"/>
              <w:rPr>
                <w:rFonts w:ascii="Arial" w:eastAsia="Arial" w:hAnsi="Arial" w:cs="Arial"/>
                <w:sz w:val="24"/>
                <w:lang w:eastAsia="en-GB" w:bidi="en-GB"/>
              </w:rPr>
            </w:pPr>
            <w:r w:rsidRPr="00483085">
              <w:rPr>
                <w:rFonts w:ascii="Arial" w:eastAsia="Arial" w:hAnsi="Arial" w:cs="Arial"/>
                <w:color w:val="221F1F"/>
                <w:sz w:val="24"/>
                <w:lang w:eastAsia="en-GB" w:bidi="en-GB"/>
              </w:rPr>
              <w:t>Schedule 4, paragraph 27B – flexible provision of relevant immunisation services during a pandemic</w:t>
            </w:r>
          </w:p>
        </w:tc>
        <w:tc>
          <w:tcPr>
            <w:tcW w:w="1984" w:type="dxa"/>
          </w:tcPr>
          <w:p w14:paraId="4DBA6C9D" w14:textId="77777777" w:rsidR="00194FF1" w:rsidRPr="00483085" w:rsidRDefault="00194FF1" w:rsidP="00027EEC">
            <w:pPr>
              <w:widowControl w:val="0"/>
              <w:autoSpaceDE w:val="0"/>
              <w:autoSpaceDN w:val="0"/>
              <w:spacing w:after="0" w:line="272" w:lineRule="exact"/>
              <w:ind w:left="157"/>
              <w:rPr>
                <w:rFonts w:ascii="Arial" w:eastAsia="Arial" w:hAnsi="Arial" w:cs="Arial"/>
                <w:sz w:val="24"/>
                <w:lang w:eastAsia="en-GB" w:bidi="en-GB"/>
              </w:rPr>
            </w:pPr>
            <w:r w:rsidRPr="00483085">
              <w:rPr>
                <w:rFonts w:ascii="Arial" w:eastAsia="Arial" w:hAnsi="Arial" w:cs="Arial"/>
                <w:color w:val="221F1F"/>
                <w:sz w:val="24"/>
                <w:lang w:eastAsia="en-GB" w:bidi="en-GB"/>
              </w:rPr>
              <w:t>Officer</w:t>
            </w:r>
          </w:p>
        </w:tc>
      </w:tr>
      <w:tr w:rsidR="00194FF1" w:rsidRPr="00483085" w14:paraId="0CE2658E" w14:textId="77777777" w:rsidTr="001759E7">
        <w:trPr>
          <w:trHeight w:val="822"/>
        </w:trPr>
        <w:tc>
          <w:tcPr>
            <w:tcW w:w="6116" w:type="dxa"/>
            <w:gridSpan w:val="2"/>
          </w:tcPr>
          <w:p w14:paraId="1B8945FF" w14:textId="77777777" w:rsidR="00194FF1" w:rsidRPr="00483085" w:rsidRDefault="00194FF1" w:rsidP="00027EEC">
            <w:pPr>
              <w:widowControl w:val="0"/>
              <w:autoSpaceDE w:val="0"/>
              <w:autoSpaceDN w:val="0"/>
              <w:spacing w:after="0" w:line="240" w:lineRule="auto"/>
              <w:ind w:left="196" w:right="116"/>
              <w:rPr>
                <w:rFonts w:ascii="Arial" w:eastAsia="Arial" w:hAnsi="Arial" w:cs="Arial"/>
                <w:sz w:val="24"/>
                <w:lang w:eastAsia="en-GB" w:bidi="en-GB"/>
              </w:rPr>
            </w:pPr>
            <w:r w:rsidRPr="00483085">
              <w:rPr>
                <w:rFonts w:ascii="Arial" w:eastAsia="Arial" w:hAnsi="Arial" w:cs="Arial"/>
                <w:color w:val="221F1F"/>
                <w:sz w:val="24"/>
                <w:lang w:eastAsia="en-GB" w:bidi="en-GB"/>
              </w:rPr>
              <w:t>Schedule 4, paragraph 28A – premises requirements in respect of consultation rooms – decisions that a</w:t>
            </w:r>
          </w:p>
          <w:p w14:paraId="7C4F0D18" w14:textId="77777777" w:rsidR="00194FF1" w:rsidRPr="00483085" w:rsidRDefault="00194FF1" w:rsidP="00027EEC">
            <w:pPr>
              <w:widowControl w:val="0"/>
              <w:autoSpaceDE w:val="0"/>
              <w:autoSpaceDN w:val="0"/>
              <w:spacing w:after="0" w:line="255" w:lineRule="exact"/>
              <w:ind w:left="196"/>
              <w:rPr>
                <w:rFonts w:ascii="Arial" w:eastAsia="Arial" w:hAnsi="Arial" w:cs="Arial"/>
                <w:sz w:val="24"/>
                <w:lang w:eastAsia="en-GB" w:bidi="en-GB"/>
              </w:rPr>
            </w:pPr>
            <w:r w:rsidRPr="00483085">
              <w:rPr>
                <w:rFonts w:ascii="Arial" w:eastAsia="Arial" w:hAnsi="Arial" w:cs="Arial"/>
                <w:color w:val="221F1F"/>
                <w:sz w:val="24"/>
                <w:lang w:eastAsia="en-GB" w:bidi="en-GB"/>
              </w:rPr>
              <w:t>pharmacy premises is too small</w:t>
            </w:r>
          </w:p>
        </w:tc>
        <w:tc>
          <w:tcPr>
            <w:tcW w:w="1984" w:type="dxa"/>
          </w:tcPr>
          <w:p w14:paraId="7FB63A2A" w14:textId="33B3DED3" w:rsidR="00194FF1" w:rsidRPr="00483085" w:rsidRDefault="00194FF1" w:rsidP="00027EEC">
            <w:pPr>
              <w:widowControl w:val="0"/>
              <w:autoSpaceDE w:val="0"/>
              <w:autoSpaceDN w:val="0"/>
              <w:spacing w:after="0" w:line="240" w:lineRule="auto"/>
              <w:ind w:left="157" w:right="268"/>
              <w:rPr>
                <w:rFonts w:ascii="Arial" w:eastAsia="Arial" w:hAnsi="Arial" w:cs="Arial"/>
                <w:sz w:val="24"/>
                <w:lang w:eastAsia="en-GB" w:bidi="en-GB"/>
              </w:rPr>
            </w:pPr>
            <w:r w:rsidRPr="00483085">
              <w:rPr>
                <w:rFonts w:ascii="Arial" w:eastAsia="Arial" w:hAnsi="Arial" w:cs="Arial"/>
                <w:color w:val="221F1F"/>
                <w:sz w:val="24"/>
                <w:lang w:eastAsia="en-GB" w:bidi="en-GB"/>
              </w:rPr>
              <w:t xml:space="preserve">Officer or </w:t>
            </w:r>
            <w:r w:rsidR="001759E7">
              <w:rPr>
                <w:rFonts w:ascii="Arial" w:eastAsia="Arial" w:hAnsi="Arial" w:cs="Arial"/>
                <w:color w:val="221F1F"/>
                <w:sz w:val="24"/>
                <w:lang w:eastAsia="en-GB" w:bidi="en-GB"/>
              </w:rPr>
              <w:t>Subc</w:t>
            </w:r>
            <w:r w:rsidR="001759E7" w:rsidRPr="00483085">
              <w:rPr>
                <w:rFonts w:ascii="Arial" w:eastAsia="Arial" w:hAnsi="Arial" w:cs="Arial"/>
                <w:color w:val="221F1F"/>
                <w:sz w:val="24"/>
                <w:lang w:eastAsia="en-GB" w:bidi="en-GB"/>
              </w:rPr>
              <w:t>ommittee</w:t>
            </w:r>
          </w:p>
        </w:tc>
      </w:tr>
      <w:tr w:rsidR="00194FF1" w:rsidRPr="00483085" w14:paraId="52577EB2" w14:textId="77777777" w:rsidTr="001759E7">
        <w:trPr>
          <w:trHeight w:val="1655"/>
        </w:trPr>
        <w:tc>
          <w:tcPr>
            <w:tcW w:w="6116" w:type="dxa"/>
            <w:gridSpan w:val="2"/>
          </w:tcPr>
          <w:p w14:paraId="645EBBA5" w14:textId="77777777" w:rsidR="00194FF1" w:rsidRPr="00483085" w:rsidRDefault="00194FF1" w:rsidP="00027EEC">
            <w:pPr>
              <w:widowControl w:val="0"/>
              <w:autoSpaceDE w:val="0"/>
              <w:autoSpaceDN w:val="0"/>
              <w:spacing w:after="0" w:line="270" w:lineRule="atLeast"/>
              <w:ind w:left="196" w:right="63"/>
              <w:rPr>
                <w:rFonts w:ascii="Arial" w:eastAsia="Arial" w:hAnsi="Arial" w:cs="Arial"/>
                <w:sz w:val="24"/>
                <w:lang w:eastAsia="en-GB" w:bidi="en-GB"/>
              </w:rPr>
            </w:pPr>
            <w:r w:rsidRPr="00483085">
              <w:rPr>
                <w:rFonts w:ascii="Arial" w:eastAsia="Arial" w:hAnsi="Arial" w:cs="Arial"/>
                <w:color w:val="221F1F"/>
                <w:sz w:val="24"/>
                <w:lang w:eastAsia="en-GB" w:bidi="en-GB"/>
              </w:rPr>
              <w:t>Schedule 5, paragraph 13(6) – arranging for amendments to be made to the relevant pharmaceutical list following notification of a change of supplementary opening hours (where change is not intended to come into effect sooner than three months after receipt of notification of change)</w:t>
            </w:r>
          </w:p>
        </w:tc>
        <w:tc>
          <w:tcPr>
            <w:tcW w:w="1984" w:type="dxa"/>
          </w:tcPr>
          <w:p w14:paraId="21519896" w14:textId="1992954F" w:rsidR="00194FF1" w:rsidRPr="00483085" w:rsidRDefault="00194FF1" w:rsidP="00027EEC">
            <w:pPr>
              <w:widowControl w:val="0"/>
              <w:autoSpaceDE w:val="0"/>
              <w:autoSpaceDN w:val="0"/>
              <w:spacing w:after="0" w:line="240" w:lineRule="auto"/>
              <w:ind w:left="157" w:right="268"/>
              <w:rPr>
                <w:rFonts w:ascii="Arial" w:eastAsia="Arial" w:hAnsi="Arial" w:cs="Arial"/>
                <w:sz w:val="24"/>
                <w:lang w:eastAsia="en-GB" w:bidi="en-GB"/>
              </w:rPr>
            </w:pPr>
            <w:r w:rsidRPr="00483085">
              <w:rPr>
                <w:rFonts w:ascii="Arial" w:eastAsia="Arial" w:hAnsi="Arial" w:cs="Arial"/>
                <w:color w:val="221F1F"/>
                <w:sz w:val="24"/>
                <w:lang w:eastAsia="en-GB" w:bidi="en-GB"/>
              </w:rPr>
              <w:t xml:space="preserve">Officer or </w:t>
            </w:r>
            <w:r w:rsidR="001759E7">
              <w:rPr>
                <w:rFonts w:ascii="Arial" w:eastAsia="Arial" w:hAnsi="Arial" w:cs="Arial"/>
                <w:color w:val="221F1F"/>
                <w:sz w:val="24"/>
                <w:lang w:eastAsia="en-GB" w:bidi="en-GB"/>
              </w:rPr>
              <w:t>Subc</w:t>
            </w:r>
            <w:r w:rsidR="001759E7" w:rsidRPr="00483085">
              <w:rPr>
                <w:rFonts w:ascii="Arial" w:eastAsia="Arial" w:hAnsi="Arial" w:cs="Arial"/>
                <w:color w:val="221F1F"/>
                <w:sz w:val="24"/>
                <w:lang w:eastAsia="en-GB" w:bidi="en-GB"/>
              </w:rPr>
              <w:t>ommittee</w:t>
            </w:r>
          </w:p>
        </w:tc>
      </w:tr>
      <w:tr w:rsidR="00194FF1" w:rsidRPr="00483085" w14:paraId="25535C5C" w14:textId="77777777" w:rsidTr="001759E7">
        <w:trPr>
          <w:trHeight w:val="552"/>
        </w:trPr>
        <w:tc>
          <w:tcPr>
            <w:tcW w:w="6116" w:type="dxa"/>
            <w:gridSpan w:val="2"/>
          </w:tcPr>
          <w:p w14:paraId="01A44218" w14:textId="77777777" w:rsidR="00194FF1" w:rsidRPr="00483085" w:rsidRDefault="00194FF1" w:rsidP="00027EEC">
            <w:pPr>
              <w:widowControl w:val="0"/>
              <w:autoSpaceDE w:val="0"/>
              <w:autoSpaceDN w:val="0"/>
              <w:spacing w:before="1" w:after="0" w:line="270" w:lineRule="atLeast"/>
              <w:ind w:left="196" w:right="450"/>
              <w:rPr>
                <w:rFonts w:ascii="Arial" w:eastAsia="Arial" w:hAnsi="Arial" w:cs="Arial"/>
                <w:sz w:val="24"/>
                <w:lang w:eastAsia="en-GB" w:bidi="en-GB"/>
              </w:rPr>
            </w:pPr>
            <w:r w:rsidRPr="00483085">
              <w:rPr>
                <w:rFonts w:ascii="Arial" w:eastAsia="Arial" w:hAnsi="Arial" w:cs="Arial"/>
                <w:color w:val="221F1F"/>
                <w:sz w:val="24"/>
                <w:lang w:eastAsia="en-GB" w:bidi="en-GB"/>
              </w:rPr>
              <w:t>Decisions relating to compliance with the dispensing doctor terms of service</w:t>
            </w:r>
          </w:p>
        </w:tc>
        <w:tc>
          <w:tcPr>
            <w:tcW w:w="1984" w:type="dxa"/>
          </w:tcPr>
          <w:p w14:paraId="15883484" w14:textId="11BC4A8E" w:rsidR="00194FF1" w:rsidRPr="00483085" w:rsidRDefault="001759E7" w:rsidP="00027EEC">
            <w:pPr>
              <w:widowControl w:val="0"/>
              <w:autoSpaceDE w:val="0"/>
              <w:autoSpaceDN w:val="0"/>
              <w:spacing w:before="1" w:after="0" w:line="240" w:lineRule="auto"/>
              <w:ind w:left="157"/>
              <w:rPr>
                <w:rFonts w:ascii="Arial" w:eastAsia="Arial" w:hAnsi="Arial" w:cs="Arial"/>
                <w:sz w:val="24"/>
                <w:lang w:eastAsia="en-GB" w:bidi="en-GB"/>
              </w:rPr>
            </w:pPr>
            <w:r>
              <w:rPr>
                <w:rFonts w:ascii="Arial" w:eastAsia="Arial" w:hAnsi="Arial" w:cs="Arial"/>
                <w:color w:val="221F1F"/>
                <w:sz w:val="24"/>
                <w:lang w:eastAsia="en-GB" w:bidi="en-GB"/>
              </w:rPr>
              <w:t>Subc</w:t>
            </w:r>
            <w:r w:rsidRPr="00483085">
              <w:rPr>
                <w:rFonts w:ascii="Arial" w:eastAsia="Arial" w:hAnsi="Arial" w:cs="Arial"/>
                <w:color w:val="221F1F"/>
                <w:sz w:val="24"/>
                <w:lang w:eastAsia="en-GB" w:bidi="en-GB"/>
              </w:rPr>
              <w:t>ommittee</w:t>
            </w:r>
          </w:p>
        </w:tc>
      </w:tr>
      <w:tr w:rsidR="00194FF1" w:rsidRPr="00483085" w14:paraId="1B05AEA8" w14:textId="77777777" w:rsidTr="001759E7">
        <w:trPr>
          <w:trHeight w:val="551"/>
        </w:trPr>
        <w:tc>
          <w:tcPr>
            <w:tcW w:w="6116" w:type="dxa"/>
            <w:gridSpan w:val="2"/>
          </w:tcPr>
          <w:p w14:paraId="0A0B0171" w14:textId="77777777" w:rsidR="00194FF1" w:rsidRPr="00483085" w:rsidRDefault="00194FF1" w:rsidP="00027EEC">
            <w:pPr>
              <w:widowControl w:val="0"/>
              <w:autoSpaceDE w:val="0"/>
              <w:autoSpaceDN w:val="0"/>
              <w:spacing w:after="0" w:line="270" w:lineRule="atLeast"/>
              <w:ind w:left="196" w:right="1036"/>
              <w:rPr>
                <w:rFonts w:ascii="Arial" w:eastAsia="Arial" w:hAnsi="Arial" w:cs="Arial"/>
                <w:sz w:val="24"/>
                <w:lang w:eastAsia="en-GB" w:bidi="en-GB"/>
              </w:rPr>
            </w:pPr>
            <w:r w:rsidRPr="00483085">
              <w:rPr>
                <w:rFonts w:ascii="Arial" w:eastAsia="Arial" w:hAnsi="Arial" w:cs="Arial"/>
                <w:color w:val="221F1F"/>
                <w:sz w:val="24"/>
                <w:lang w:eastAsia="en-GB" w:bidi="en-GB"/>
              </w:rPr>
              <w:t>Approval of responses to an appeal against, or challenge to, decisions of the committee</w:t>
            </w:r>
          </w:p>
        </w:tc>
        <w:tc>
          <w:tcPr>
            <w:tcW w:w="1984" w:type="dxa"/>
          </w:tcPr>
          <w:p w14:paraId="6342F6DF" w14:textId="256114A9" w:rsidR="00194FF1" w:rsidRPr="00483085" w:rsidRDefault="00194FF1" w:rsidP="00027EEC">
            <w:pPr>
              <w:widowControl w:val="0"/>
              <w:autoSpaceDE w:val="0"/>
              <w:autoSpaceDN w:val="0"/>
              <w:spacing w:after="0" w:line="270" w:lineRule="atLeast"/>
              <w:ind w:left="157" w:right="268"/>
              <w:rPr>
                <w:rFonts w:ascii="Arial" w:eastAsia="Arial" w:hAnsi="Arial" w:cs="Arial"/>
                <w:sz w:val="24"/>
                <w:lang w:eastAsia="en-GB" w:bidi="en-GB"/>
              </w:rPr>
            </w:pPr>
            <w:r w:rsidRPr="00483085">
              <w:rPr>
                <w:rFonts w:ascii="Arial" w:eastAsia="Arial" w:hAnsi="Arial" w:cs="Arial"/>
                <w:color w:val="221F1F"/>
                <w:sz w:val="24"/>
                <w:lang w:eastAsia="en-GB" w:bidi="en-GB"/>
              </w:rPr>
              <w:t xml:space="preserve">Officer or </w:t>
            </w:r>
            <w:r w:rsidR="001759E7">
              <w:rPr>
                <w:rFonts w:ascii="Arial" w:eastAsia="Arial" w:hAnsi="Arial" w:cs="Arial"/>
                <w:color w:val="221F1F"/>
                <w:sz w:val="24"/>
                <w:lang w:eastAsia="en-GB" w:bidi="en-GB"/>
              </w:rPr>
              <w:t>Subc</w:t>
            </w:r>
            <w:r w:rsidR="001759E7" w:rsidRPr="00483085">
              <w:rPr>
                <w:rFonts w:ascii="Arial" w:eastAsia="Arial" w:hAnsi="Arial" w:cs="Arial"/>
                <w:color w:val="221F1F"/>
                <w:sz w:val="24"/>
                <w:lang w:eastAsia="en-GB" w:bidi="en-GB"/>
              </w:rPr>
              <w:t>ommittee</w:t>
            </w:r>
          </w:p>
        </w:tc>
      </w:tr>
      <w:tr w:rsidR="00194FF1" w:rsidRPr="00483085" w14:paraId="34C846BD" w14:textId="77777777" w:rsidTr="001759E7">
        <w:trPr>
          <w:trHeight w:val="550"/>
        </w:trPr>
        <w:tc>
          <w:tcPr>
            <w:tcW w:w="6116" w:type="dxa"/>
            <w:gridSpan w:val="2"/>
          </w:tcPr>
          <w:p w14:paraId="440A1289" w14:textId="77777777" w:rsidR="00194FF1" w:rsidRPr="00483085" w:rsidRDefault="00194FF1" w:rsidP="00027EEC">
            <w:pPr>
              <w:widowControl w:val="0"/>
              <w:autoSpaceDE w:val="0"/>
              <w:autoSpaceDN w:val="0"/>
              <w:spacing w:before="4" w:after="0" w:line="276" w:lineRule="exact"/>
              <w:ind w:left="196" w:right="1036"/>
              <w:rPr>
                <w:rFonts w:ascii="Arial" w:eastAsia="Arial" w:hAnsi="Arial" w:cs="Arial"/>
                <w:sz w:val="24"/>
                <w:lang w:eastAsia="en-GB" w:bidi="en-GB"/>
              </w:rPr>
            </w:pPr>
            <w:r w:rsidRPr="00483085">
              <w:rPr>
                <w:rFonts w:ascii="Arial" w:eastAsia="Arial" w:hAnsi="Arial" w:cs="Arial"/>
                <w:color w:val="221F1F"/>
                <w:sz w:val="24"/>
                <w:lang w:eastAsia="en-GB" w:bidi="en-GB"/>
              </w:rPr>
              <w:t>Approval of responses to an appeal against, or challenge to, decisions of the officer</w:t>
            </w:r>
          </w:p>
        </w:tc>
        <w:tc>
          <w:tcPr>
            <w:tcW w:w="1984" w:type="dxa"/>
          </w:tcPr>
          <w:p w14:paraId="5175F1C0" w14:textId="122EED07" w:rsidR="00194FF1" w:rsidRPr="00483085" w:rsidRDefault="00194FF1" w:rsidP="00027EEC">
            <w:pPr>
              <w:widowControl w:val="0"/>
              <w:autoSpaceDE w:val="0"/>
              <w:autoSpaceDN w:val="0"/>
              <w:spacing w:before="4" w:after="0" w:line="276" w:lineRule="exact"/>
              <w:ind w:left="157" w:right="268"/>
              <w:rPr>
                <w:rFonts w:ascii="Arial" w:eastAsia="Arial" w:hAnsi="Arial" w:cs="Arial"/>
                <w:sz w:val="24"/>
                <w:lang w:eastAsia="en-GB" w:bidi="en-GB"/>
              </w:rPr>
            </w:pPr>
            <w:r w:rsidRPr="00483085">
              <w:rPr>
                <w:rFonts w:ascii="Arial" w:eastAsia="Arial" w:hAnsi="Arial" w:cs="Arial"/>
                <w:color w:val="221F1F"/>
                <w:sz w:val="24"/>
                <w:lang w:eastAsia="en-GB" w:bidi="en-GB"/>
              </w:rPr>
              <w:t xml:space="preserve">Officer or </w:t>
            </w:r>
            <w:r w:rsidR="001759E7">
              <w:rPr>
                <w:rFonts w:ascii="Arial" w:eastAsia="Arial" w:hAnsi="Arial" w:cs="Arial"/>
                <w:color w:val="221F1F"/>
                <w:sz w:val="24"/>
                <w:lang w:eastAsia="en-GB" w:bidi="en-GB"/>
              </w:rPr>
              <w:t>Subc</w:t>
            </w:r>
            <w:r w:rsidR="001759E7" w:rsidRPr="00483085">
              <w:rPr>
                <w:rFonts w:ascii="Arial" w:eastAsia="Arial" w:hAnsi="Arial" w:cs="Arial"/>
                <w:color w:val="221F1F"/>
                <w:sz w:val="24"/>
                <w:lang w:eastAsia="en-GB" w:bidi="en-GB"/>
              </w:rPr>
              <w:t>ommittee</w:t>
            </w:r>
          </w:p>
        </w:tc>
      </w:tr>
      <w:tr w:rsidR="00194FF1" w:rsidRPr="00483085" w14:paraId="146A6952" w14:textId="77777777" w:rsidTr="001759E7">
        <w:trPr>
          <w:trHeight w:val="547"/>
        </w:trPr>
        <w:tc>
          <w:tcPr>
            <w:tcW w:w="6116" w:type="dxa"/>
            <w:gridSpan w:val="2"/>
          </w:tcPr>
          <w:p w14:paraId="024EA166" w14:textId="77777777" w:rsidR="00194FF1" w:rsidRPr="00483085" w:rsidRDefault="00194FF1" w:rsidP="00027EEC">
            <w:pPr>
              <w:widowControl w:val="0"/>
              <w:autoSpaceDE w:val="0"/>
              <w:autoSpaceDN w:val="0"/>
              <w:spacing w:after="0" w:line="276" w:lineRule="exact"/>
              <w:ind w:left="196" w:right="530"/>
              <w:rPr>
                <w:rFonts w:ascii="Arial" w:eastAsia="Arial" w:hAnsi="Arial" w:cs="Arial"/>
                <w:sz w:val="24"/>
                <w:lang w:eastAsia="en-GB" w:bidi="en-GB"/>
              </w:rPr>
            </w:pPr>
            <w:r w:rsidRPr="00483085">
              <w:rPr>
                <w:rFonts w:ascii="Arial" w:eastAsia="Arial" w:hAnsi="Arial" w:cs="Arial"/>
                <w:color w:val="221F1F"/>
                <w:sz w:val="24"/>
                <w:lang w:eastAsia="en-GB" w:bidi="en-GB"/>
              </w:rPr>
              <w:t>Determination of further action where community pharmacy assurance framework identifies concerns</w:t>
            </w:r>
          </w:p>
        </w:tc>
        <w:tc>
          <w:tcPr>
            <w:tcW w:w="1984" w:type="dxa"/>
          </w:tcPr>
          <w:p w14:paraId="1D926647" w14:textId="290BF43D" w:rsidR="00194FF1" w:rsidRPr="00483085" w:rsidRDefault="00194FF1" w:rsidP="00027EEC">
            <w:pPr>
              <w:widowControl w:val="0"/>
              <w:autoSpaceDE w:val="0"/>
              <w:autoSpaceDN w:val="0"/>
              <w:spacing w:after="0" w:line="276" w:lineRule="exact"/>
              <w:ind w:left="157" w:right="268"/>
              <w:rPr>
                <w:rFonts w:ascii="Arial" w:eastAsia="Arial" w:hAnsi="Arial" w:cs="Arial"/>
                <w:sz w:val="24"/>
                <w:lang w:eastAsia="en-GB" w:bidi="en-GB"/>
              </w:rPr>
            </w:pPr>
            <w:r w:rsidRPr="00483085">
              <w:rPr>
                <w:rFonts w:ascii="Arial" w:eastAsia="Arial" w:hAnsi="Arial" w:cs="Arial"/>
                <w:color w:val="221F1F"/>
                <w:sz w:val="24"/>
                <w:lang w:eastAsia="en-GB" w:bidi="en-GB"/>
              </w:rPr>
              <w:t xml:space="preserve">Officer or </w:t>
            </w:r>
            <w:r w:rsidR="001759E7">
              <w:rPr>
                <w:rFonts w:ascii="Arial" w:eastAsia="Arial" w:hAnsi="Arial" w:cs="Arial"/>
                <w:color w:val="221F1F"/>
                <w:sz w:val="24"/>
                <w:lang w:eastAsia="en-GB" w:bidi="en-GB"/>
              </w:rPr>
              <w:t>Subc</w:t>
            </w:r>
            <w:r w:rsidR="001759E7" w:rsidRPr="00483085">
              <w:rPr>
                <w:rFonts w:ascii="Arial" w:eastAsia="Arial" w:hAnsi="Arial" w:cs="Arial"/>
                <w:color w:val="221F1F"/>
                <w:sz w:val="24"/>
                <w:lang w:eastAsia="en-GB" w:bidi="en-GB"/>
              </w:rPr>
              <w:t>ommittee</w:t>
            </w:r>
          </w:p>
        </w:tc>
      </w:tr>
      <w:tr w:rsidR="00194FF1" w:rsidRPr="00483085" w14:paraId="7FC80554" w14:textId="77777777" w:rsidTr="001759E7">
        <w:trPr>
          <w:trHeight w:val="547"/>
        </w:trPr>
        <w:tc>
          <w:tcPr>
            <w:tcW w:w="6116" w:type="dxa"/>
            <w:gridSpan w:val="2"/>
          </w:tcPr>
          <w:p w14:paraId="515729C2" w14:textId="77777777" w:rsidR="00194FF1" w:rsidRPr="00483085" w:rsidRDefault="00194FF1" w:rsidP="00027EEC">
            <w:pPr>
              <w:widowControl w:val="0"/>
              <w:autoSpaceDE w:val="0"/>
              <w:autoSpaceDN w:val="0"/>
              <w:spacing w:after="0" w:line="276" w:lineRule="exact"/>
              <w:ind w:left="196" w:right="23"/>
              <w:rPr>
                <w:rFonts w:ascii="Arial" w:eastAsia="Arial" w:hAnsi="Arial" w:cs="Arial"/>
                <w:sz w:val="24"/>
                <w:lang w:eastAsia="en-GB" w:bidi="en-GB"/>
              </w:rPr>
            </w:pPr>
            <w:r w:rsidRPr="00483085">
              <w:rPr>
                <w:rFonts w:ascii="Arial" w:eastAsia="Arial" w:hAnsi="Arial" w:cs="Arial"/>
                <w:color w:val="221F1F"/>
                <w:sz w:val="24"/>
                <w:lang w:eastAsia="en-GB" w:bidi="en-GB"/>
              </w:rPr>
              <w:t>Determination of further action where the contractor fails or refuses to agree a date and time for a visit</w:t>
            </w:r>
          </w:p>
        </w:tc>
        <w:tc>
          <w:tcPr>
            <w:tcW w:w="1984" w:type="dxa"/>
          </w:tcPr>
          <w:p w14:paraId="17E9CF72" w14:textId="4F8330E1" w:rsidR="00194FF1" w:rsidRPr="00483085" w:rsidRDefault="00194FF1" w:rsidP="00027EEC">
            <w:pPr>
              <w:widowControl w:val="0"/>
              <w:autoSpaceDE w:val="0"/>
              <w:autoSpaceDN w:val="0"/>
              <w:spacing w:after="0" w:line="276" w:lineRule="exact"/>
              <w:ind w:left="157" w:right="268"/>
              <w:rPr>
                <w:rFonts w:ascii="Arial" w:eastAsia="Arial" w:hAnsi="Arial" w:cs="Arial"/>
                <w:sz w:val="24"/>
                <w:lang w:eastAsia="en-GB" w:bidi="en-GB"/>
              </w:rPr>
            </w:pPr>
            <w:r w:rsidRPr="00483085">
              <w:rPr>
                <w:rFonts w:ascii="Arial" w:eastAsia="Arial" w:hAnsi="Arial" w:cs="Arial"/>
                <w:color w:val="221F1F"/>
                <w:sz w:val="24"/>
                <w:lang w:eastAsia="en-GB" w:bidi="en-GB"/>
              </w:rPr>
              <w:t xml:space="preserve">Officer or </w:t>
            </w:r>
            <w:r w:rsidR="001759E7">
              <w:rPr>
                <w:rFonts w:ascii="Arial" w:eastAsia="Arial" w:hAnsi="Arial" w:cs="Arial"/>
                <w:color w:val="221F1F"/>
                <w:sz w:val="24"/>
                <w:lang w:eastAsia="en-GB" w:bidi="en-GB"/>
              </w:rPr>
              <w:t>Subc</w:t>
            </w:r>
            <w:r w:rsidR="001759E7" w:rsidRPr="00483085">
              <w:rPr>
                <w:rFonts w:ascii="Arial" w:eastAsia="Arial" w:hAnsi="Arial" w:cs="Arial"/>
                <w:color w:val="221F1F"/>
                <w:sz w:val="24"/>
                <w:lang w:eastAsia="en-GB" w:bidi="en-GB"/>
              </w:rPr>
              <w:t>ommittee</w:t>
            </w:r>
          </w:p>
        </w:tc>
      </w:tr>
      <w:tr w:rsidR="00194FF1" w:rsidRPr="00483085" w14:paraId="213E28B4" w14:textId="77777777" w:rsidTr="001759E7">
        <w:trPr>
          <w:trHeight w:val="1820"/>
        </w:trPr>
        <w:tc>
          <w:tcPr>
            <w:tcW w:w="6116" w:type="dxa"/>
            <w:gridSpan w:val="2"/>
          </w:tcPr>
          <w:p w14:paraId="37815B35" w14:textId="77777777" w:rsidR="00194FF1" w:rsidRPr="00483085" w:rsidRDefault="00194FF1" w:rsidP="00027EEC">
            <w:pPr>
              <w:widowControl w:val="0"/>
              <w:autoSpaceDE w:val="0"/>
              <w:autoSpaceDN w:val="0"/>
              <w:spacing w:after="0" w:line="240" w:lineRule="auto"/>
              <w:ind w:left="197" w:right="275"/>
              <w:rPr>
                <w:rFonts w:ascii="Arial" w:eastAsia="Arial" w:hAnsi="Arial" w:cs="Arial"/>
                <w:sz w:val="24"/>
                <w:lang w:eastAsia="en-GB" w:bidi="en-GB"/>
              </w:rPr>
            </w:pPr>
            <w:r w:rsidRPr="00483085">
              <w:rPr>
                <w:rFonts w:ascii="Arial" w:eastAsia="Arial" w:hAnsi="Arial" w:cs="Arial"/>
                <w:color w:val="221F1F"/>
                <w:sz w:val="24"/>
                <w:lang w:eastAsia="en-GB" w:bidi="en-GB"/>
              </w:rPr>
              <w:lastRenderedPageBreak/>
              <w:t>Determination of action where any of the following are identified:</w:t>
            </w:r>
          </w:p>
          <w:p w14:paraId="7894C51C" w14:textId="77777777" w:rsidR="00194FF1" w:rsidRPr="00483085" w:rsidRDefault="00194FF1" w:rsidP="00194FF1">
            <w:pPr>
              <w:widowControl w:val="0"/>
              <w:numPr>
                <w:ilvl w:val="0"/>
                <w:numId w:val="15"/>
              </w:numPr>
              <w:tabs>
                <w:tab w:val="left" w:pos="859"/>
              </w:tabs>
              <w:autoSpaceDE w:val="0"/>
              <w:autoSpaceDN w:val="0"/>
              <w:spacing w:before="115" w:after="0" w:line="294" w:lineRule="exact"/>
              <w:rPr>
                <w:rFonts w:ascii="Arial" w:eastAsia="Arial" w:hAnsi="Arial" w:cs="Arial"/>
                <w:sz w:val="24"/>
                <w:lang w:eastAsia="en-GB" w:bidi="en-GB"/>
              </w:rPr>
            </w:pPr>
            <w:r w:rsidRPr="00483085">
              <w:rPr>
                <w:rFonts w:ascii="Arial" w:eastAsia="Arial" w:hAnsi="Arial" w:cs="Arial"/>
                <w:color w:val="221F1F"/>
                <w:sz w:val="24"/>
                <w:lang w:eastAsia="en-GB" w:bidi="en-GB"/>
              </w:rPr>
              <w:t>patient safety</w:t>
            </w:r>
            <w:r w:rsidRPr="00483085">
              <w:rPr>
                <w:rFonts w:ascii="Arial" w:eastAsia="Arial" w:hAnsi="Arial" w:cs="Arial"/>
                <w:color w:val="221F1F"/>
                <w:spacing w:val="-1"/>
                <w:sz w:val="24"/>
                <w:lang w:eastAsia="en-GB" w:bidi="en-GB"/>
              </w:rPr>
              <w:t xml:space="preserve"> </w:t>
            </w:r>
            <w:r w:rsidRPr="00483085">
              <w:rPr>
                <w:rFonts w:ascii="Arial" w:eastAsia="Arial" w:hAnsi="Arial" w:cs="Arial"/>
                <w:color w:val="221F1F"/>
                <w:sz w:val="24"/>
                <w:lang w:eastAsia="en-GB" w:bidi="en-GB"/>
              </w:rPr>
              <w:t>issues</w:t>
            </w:r>
          </w:p>
          <w:p w14:paraId="7E5AC099" w14:textId="77777777" w:rsidR="00194FF1" w:rsidRPr="00483085" w:rsidRDefault="00194FF1" w:rsidP="00194FF1">
            <w:pPr>
              <w:widowControl w:val="0"/>
              <w:numPr>
                <w:ilvl w:val="0"/>
                <w:numId w:val="15"/>
              </w:numPr>
              <w:tabs>
                <w:tab w:val="left" w:pos="859"/>
              </w:tabs>
              <w:autoSpaceDE w:val="0"/>
              <w:autoSpaceDN w:val="0"/>
              <w:spacing w:after="0" w:line="240" w:lineRule="auto"/>
              <w:ind w:left="858" w:right="395"/>
              <w:rPr>
                <w:rFonts w:ascii="Arial" w:eastAsia="Arial" w:hAnsi="Arial" w:cs="Arial"/>
                <w:sz w:val="24"/>
                <w:lang w:eastAsia="en-GB" w:bidi="en-GB"/>
              </w:rPr>
            </w:pPr>
            <w:r w:rsidRPr="00483085">
              <w:rPr>
                <w:rFonts w:ascii="Arial" w:eastAsia="Arial" w:hAnsi="Arial" w:cs="Arial"/>
                <w:color w:val="221F1F"/>
                <w:sz w:val="24"/>
                <w:lang w:eastAsia="en-GB" w:bidi="en-GB"/>
              </w:rPr>
              <w:t>the commissioner is at risk of material</w:t>
            </w:r>
            <w:r w:rsidRPr="00483085">
              <w:rPr>
                <w:rFonts w:ascii="Arial" w:eastAsia="Arial" w:hAnsi="Arial" w:cs="Arial"/>
                <w:color w:val="221F1F"/>
                <w:spacing w:val="-9"/>
                <w:sz w:val="24"/>
                <w:lang w:eastAsia="en-GB" w:bidi="en-GB"/>
              </w:rPr>
              <w:t xml:space="preserve"> </w:t>
            </w:r>
            <w:r w:rsidRPr="00483085">
              <w:rPr>
                <w:rFonts w:ascii="Arial" w:eastAsia="Arial" w:hAnsi="Arial" w:cs="Arial"/>
                <w:color w:val="221F1F"/>
                <w:sz w:val="24"/>
                <w:lang w:eastAsia="en-GB" w:bidi="en-GB"/>
              </w:rPr>
              <w:t>financial loss, and/or</w:t>
            </w:r>
          </w:p>
          <w:p w14:paraId="7A9BB07A" w14:textId="77777777" w:rsidR="00194FF1" w:rsidRPr="00483085" w:rsidRDefault="00194FF1" w:rsidP="00194FF1">
            <w:pPr>
              <w:widowControl w:val="0"/>
              <w:numPr>
                <w:ilvl w:val="0"/>
                <w:numId w:val="15"/>
              </w:numPr>
              <w:tabs>
                <w:tab w:val="left" w:pos="859"/>
              </w:tabs>
              <w:autoSpaceDE w:val="0"/>
              <w:autoSpaceDN w:val="0"/>
              <w:spacing w:after="0" w:line="270" w:lineRule="exact"/>
              <w:rPr>
                <w:rFonts w:ascii="Arial" w:eastAsia="Arial" w:hAnsi="Arial" w:cs="Arial"/>
                <w:sz w:val="24"/>
                <w:lang w:eastAsia="en-GB" w:bidi="en-GB"/>
              </w:rPr>
            </w:pPr>
            <w:r w:rsidRPr="00483085">
              <w:rPr>
                <w:rFonts w:ascii="Arial" w:eastAsia="Arial" w:hAnsi="Arial" w:cs="Arial"/>
                <w:color w:val="221F1F"/>
                <w:sz w:val="24"/>
                <w:lang w:eastAsia="en-GB" w:bidi="en-GB"/>
              </w:rPr>
              <w:t>possible fraudulent or criminal</w:t>
            </w:r>
            <w:r w:rsidRPr="00483085">
              <w:rPr>
                <w:rFonts w:ascii="Arial" w:eastAsia="Arial" w:hAnsi="Arial" w:cs="Arial"/>
                <w:color w:val="221F1F"/>
                <w:spacing w:val="-1"/>
                <w:sz w:val="24"/>
                <w:lang w:eastAsia="en-GB" w:bidi="en-GB"/>
              </w:rPr>
              <w:t xml:space="preserve"> </w:t>
            </w:r>
            <w:r w:rsidRPr="00483085">
              <w:rPr>
                <w:rFonts w:ascii="Arial" w:eastAsia="Arial" w:hAnsi="Arial" w:cs="Arial"/>
                <w:color w:val="221F1F"/>
                <w:sz w:val="24"/>
                <w:lang w:eastAsia="en-GB" w:bidi="en-GB"/>
              </w:rPr>
              <w:t>activity.</w:t>
            </w:r>
          </w:p>
        </w:tc>
        <w:tc>
          <w:tcPr>
            <w:tcW w:w="1984" w:type="dxa"/>
          </w:tcPr>
          <w:p w14:paraId="41CE451C" w14:textId="7B46D07B" w:rsidR="00194FF1" w:rsidRPr="00483085" w:rsidRDefault="00194FF1" w:rsidP="00027EEC">
            <w:pPr>
              <w:widowControl w:val="0"/>
              <w:autoSpaceDE w:val="0"/>
              <w:autoSpaceDN w:val="0"/>
              <w:spacing w:after="0" w:line="240" w:lineRule="auto"/>
              <w:ind w:left="157" w:right="268"/>
              <w:rPr>
                <w:rFonts w:ascii="Arial" w:eastAsia="Arial" w:hAnsi="Arial" w:cs="Arial"/>
                <w:sz w:val="24"/>
                <w:lang w:eastAsia="en-GB" w:bidi="en-GB"/>
              </w:rPr>
            </w:pPr>
            <w:r w:rsidRPr="00483085">
              <w:rPr>
                <w:rFonts w:ascii="Arial" w:eastAsia="Arial" w:hAnsi="Arial" w:cs="Arial"/>
                <w:color w:val="221F1F"/>
                <w:sz w:val="24"/>
                <w:lang w:eastAsia="en-GB" w:bidi="en-GB"/>
              </w:rPr>
              <w:t xml:space="preserve">Officer or </w:t>
            </w:r>
            <w:r w:rsidR="001759E7">
              <w:rPr>
                <w:rFonts w:ascii="Arial" w:eastAsia="Arial" w:hAnsi="Arial" w:cs="Arial"/>
                <w:color w:val="221F1F"/>
                <w:sz w:val="24"/>
                <w:lang w:eastAsia="en-GB" w:bidi="en-GB"/>
              </w:rPr>
              <w:t>Subc</w:t>
            </w:r>
            <w:r w:rsidR="001759E7" w:rsidRPr="00483085">
              <w:rPr>
                <w:rFonts w:ascii="Arial" w:eastAsia="Arial" w:hAnsi="Arial" w:cs="Arial"/>
                <w:color w:val="221F1F"/>
                <w:sz w:val="24"/>
                <w:lang w:eastAsia="en-GB" w:bidi="en-GB"/>
              </w:rPr>
              <w:t>ommittee</w:t>
            </w:r>
          </w:p>
        </w:tc>
      </w:tr>
      <w:tr w:rsidR="00194FF1" w:rsidRPr="00483085" w14:paraId="359970B6" w14:textId="77777777" w:rsidTr="001759E7">
        <w:trPr>
          <w:gridBefore w:val="1"/>
          <w:wBefore w:w="21" w:type="dxa"/>
          <w:trHeight w:val="561"/>
        </w:trPr>
        <w:tc>
          <w:tcPr>
            <w:tcW w:w="6095" w:type="dxa"/>
            <w:tcBorders>
              <w:top w:val="nil"/>
              <w:left w:val="nil"/>
              <w:bottom w:val="nil"/>
              <w:right w:val="nil"/>
            </w:tcBorders>
            <w:shd w:val="clear" w:color="auto" w:fill="1C6CB4"/>
          </w:tcPr>
          <w:p w14:paraId="322A122D" w14:textId="77777777" w:rsidR="00194FF1" w:rsidRPr="00483085" w:rsidRDefault="00194FF1" w:rsidP="00027EEC">
            <w:pPr>
              <w:widowControl w:val="0"/>
              <w:autoSpaceDE w:val="0"/>
              <w:autoSpaceDN w:val="0"/>
              <w:spacing w:after="0" w:line="240" w:lineRule="auto"/>
              <w:ind w:left="196"/>
              <w:rPr>
                <w:rFonts w:ascii="Arial" w:eastAsia="Arial" w:hAnsi="Arial" w:cs="Arial"/>
                <w:b/>
                <w:sz w:val="24"/>
                <w:lang w:eastAsia="en-GB" w:bidi="en-GB"/>
              </w:rPr>
            </w:pPr>
            <w:r w:rsidRPr="00483085">
              <w:rPr>
                <w:rFonts w:ascii="Arial" w:eastAsia="Arial" w:hAnsi="Arial" w:cs="Arial"/>
                <w:b/>
                <w:color w:val="FFFFFF"/>
                <w:sz w:val="24"/>
                <w:lang w:eastAsia="en-GB" w:bidi="en-GB"/>
              </w:rPr>
              <w:t>Regulatory provision</w:t>
            </w:r>
          </w:p>
        </w:tc>
        <w:tc>
          <w:tcPr>
            <w:tcW w:w="1984" w:type="dxa"/>
            <w:tcBorders>
              <w:top w:val="nil"/>
              <w:left w:val="nil"/>
              <w:bottom w:val="nil"/>
              <w:right w:val="nil"/>
            </w:tcBorders>
            <w:shd w:val="clear" w:color="auto" w:fill="1C6CB4"/>
          </w:tcPr>
          <w:p w14:paraId="1308044B" w14:textId="77777777" w:rsidR="00194FF1" w:rsidRPr="00483085" w:rsidRDefault="00194FF1" w:rsidP="00027EEC">
            <w:pPr>
              <w:widowControl w:val="0"/>
              <w:autoSpaceDE w:val="0"/>
              <w:autoSpaceDN w:val="0"/>
              <w:spacing w:after="0" w:line="270" w:lineRule="atLeast"/>
              <w:ind w:left="157" w:right="304"/>
              <w:rPr>
                <w:rFonts w:ascii="Arial" w:eastAsia="Arial" w:hAnsi="Arial" w:cs="Arial"/>
                <w:b/>
                <w:sz w:val="24"/>
                <w:lang w:eastAsia="en-GB" w:bidi="en-GB"/>
              </w:rPr>
            </w:pPr>
            <w:r w:rsidRPr="00483085">
              <w:rPr>
                <w:rFonts w:ascii="Arial" w:eastAsia="Arial" w:hAnsi="Arial" w:cs="Arial"/>
                <w:b/>
                <w:color w:val="FFFFFF"/>
                <w:sz w:val="24"/>
                <w:lang w:eastAsia="en-GB" w:bidi="en-GB"/>
              </w:rPr>
              <w:t>Decision- maker</w:t>
            </w:r>
          </w:p>
        </w:tc>
      </w:tr>
      <w:tr w:rsidR="00194FF1" w:rsidRPr="00483085" w14:paraId="0A3C93C7" w14:textId="77777777" w:rsidTr="001759E7">
        <w:trPr>
          <w:gridBefore w:val="1"/>
          <w:wBefore w:w="21" w:type="dxa"/>
          <w:trHeight w:val="828"/>
        </w:trPr>
        <w:tc>
          <w:tcPr>
            <w:tcW w:w="6095" w:type="dxa"/>
            <w:tcBorders>
              <w:top w:val="nil"/>
            </w:tcBorders>
          </w:tcPr>
          <w:p w14:paraId="5A85CA2F" w14:textId="77777777" w:rsidR="00194FF1" w:rsidRPr="00483085" w:rsidRDefault="00194FF1" w:rsidP="00027EEC">
            <w:pPr>
              <w:widowControl w:val="0"/>
              <w:autoSpaceDE w:val="0"/>
              <w:autoSpaceDN w:val="0"/>
              <w:spacing w:after="0" w:line="240" w:lineRule="auto"/>
              <w:ind w:left="196" w:right="410"/>
              <w:rPr>
                <w:rFonts w:ascii="Arial" w:eastAsia="Arial" w:hAnsi="Arial" w:cs="Arial"/>
                <w:sz w:val="24"/>
                <w:lang w:eastAsia="en-GB" w:bidi="en-GB"/>
              </w:rPr>
            </w:pPr>
            <w:r w:rsidRPr="00483085">
              <w:rPr>
                <w:rFonts w:ascii="Arial" w:eastAsia="Arial" w:hAnsi="Arial" w:cs="Arial"/>
                <w:color w:val="221F1F"/>
                <w:sz w:val="24"/>
                <w:lang w:eastAsia="en-GB" w:bidi="en-GB"/>
              </w:rPr>
              <w:t>Determination of action where the contractor fails to complete the required actions or fails to respond to a</w:t>
            </w:r>
          </w:p>
          <w:p w14:paraId="59AA65A2" w14:textId="77777777" w:rsidR="00194FF1" w:rsidRPr="00483085" w:rsidRDefault="00194FF1" w:rsidP="00027EEC">
            <w:pPr>
              <w:widowControl w:val="0"/>
              <w:autoSpaceDE w:val="0"/>
              <w:autoSpaceDN w:val="0"/>
              <w:spacing w:before="1" w:after="0" w:line="255" w:lineRule="exact"/>
              <w:ind w:left="196"/>
              <w:rPr>
                <w:rFonts w:ascii="Arial" w:eastAsia="Arial" w:hAnsi="Arial" w:cs="Arial"/>
                <w:sz w:val="24"/>
                <w:lang w:eastAsia="en-GB" w:bidi="en-GB"/>
              </w:rPr>
            </w:pPr>
            <w:r w:rsidRPr="00483085">
              <w:rPr>
                <w:rFonts w:ascii="Arial" w:eastAsia="Arial" w:hAnsi="Arial" w:cs="Arial"/>
                <w:color w:val="221F1F"/>
                <w:sz w:val="24"/>
                <w:lang w:eastAsia="en-GB" w:bidi="en-GB"/>
              </w:rPr>
              <w:t>visit report</w:t>
            </w:r>
          </w:p>
        </w:tc>
        <w:tc>
          <w:tcPr>
            <w:tcW w:w="1984" w:type="dxa"/>
            <w:tcBorders>
              <w:top w:val="nil"/>
            </w:tcBorders>
          </w:tcPr>
          <w:p w14:paraId="7909DBA7" w14:textId="60063402" w:rsidR="00194FF1" w:rsidRPr="00483085" w:rsidRDefault="00194FF1" w:rsidP="00027EEC">
            <w:pPr>
              <w:widowControl w:val="0"/>
              <w:autoSpaceDE w:val="0"/>
              <w:autoSpaceDN w:val="0"/>
              <w:spacing w:after="0" w:line="240" w:lineRule="auto"/>
              <w:ind w:left="157" w:right="268"/>
              <w:rPr>
                <w:rFonts w:ascii="Arial" w:eastAsia="Arial" w:hAnsi="Arial" w:cs="Arial"/>
                <w:sz w:val="24"/>
                <w:lang w:eastAsia="en-GB" w:bidi="en-GB"/>
              </w:rPr>
            </w:pPr>
            <w:r w:rsidRPr="00483085">
              <w:rPr>
                <w:rFonts w:ascii="Arial" w:eastAsia="Arial" w:hAnsi="Arial" w:cs="Arial"/>
                <w:color w:val="221F1F"/>
                <w:sz w:val="24"/>
                <w:lang w:eastAsia="en-GB" w:bidi="en-GB"/>
              </w:rPr>
              <w:t xml:space="preserve">Officer or </w:t>
            </w:r>
            <w:r w:rsidR="001759E7">
              <w:rPr>
                <w:rFonts w:ascii="Arial" w:eastAsia="Arial" w:hAnsi="Arial" w:cs="Arial"/>
                <w:color w:val="221F1F"/>
                <w:sz w:val="24"/>
                <w:lang w:eastAsia="en-GB" w:bidi="en-GB"/>
              </w:rPr>
              <w:t>Subc</w:t>
            </w:r>
            <w:r w:rsidR="001759E7" w:rsidRPr="00483085">
              <w:rPr>
                <w:rFonts w:ascii="Arial" w:eastAsia="Arial" w:hAnsi="Arial" w:cs="Arial"/>
                <w:color w:val="221F1F"/>
                <w:sz w:val="24"/>
                <w:lang w:eastAsia="en-GB" w:bidi="en-GB"/>
              </w:rPr>
              <w:t>ommittee</w:t>
            </w:r>
          </w:p>
        </w:tc>
      </w:tr>
      <w:tr w:rsidR="00194FF1" w:rsidRPr="00483085" w14:paraId="6B2D052B" w14:textId="77777777" w:rsidTr="001759E7">
        <w:trPr>
          <w:gridBefore w:val="1"/>
          <w:wBefore w:w="21" w:type="dxa"/>
          <w:trHeight w:val="828"/>
        </w:trPr>
        <w:tc>
          <w:tcPr>
            <w:tcW w:w="6095" w:type="dxa"/>
          </w:tcPr>
          <w:p w14:paraId="50FDE161" w14:textId="77777777" w:rsidR="00194FF1" w:rsidRPr="00483085" w:rsidRDefault="00194FF1" w:rsidP="00027EEC">
            <w:pPr>
              <w:widowControl w:val="0"/>
              <w:autoSpaceDE w:val="0"/>
              <w:autoSpaceDN w:val="0"/>
              <w:spacing w:before="1" w:after="0" w:line="270" w:lineRule="atLeast"/>
              <w:ind w:left="196" w:right="3"/>
              <w:rPr>
                <w:rFonts w:ascii="Arial" w:eastAsia="Arial" w:hAnsi="Arial" w:cs="Arial"/>
                <w:sz w:val="24"/>
                <w:lang w:eastAsia="en-GB" w:bidi="en-GB"/>
              </w:rPr>
            </w:pPr>
            <w:r w:rsidRPr="00483085">
              <w:rPr>
                <w:rFonts w:ascii="Arial" w:eastAsia="Arial" w:hAnsi="Arial" w:cs="Arial"/>
                <w:color w:val="221F1F"/>
                <w:sz w:val="24"/>
                <w:lang w:eastAsia="en-GB" w:bidi="en-GB"/>
              </w:rPr>
              <w:t>Determination of action where the contractor exceeds the maximum number of appliance use reviews that may be done in any one year</w:t>
            </w:r>
          </w:p>
        </w:tc>
        <w:tc>
          <w:tcPr>
            <w:tcW w:w="1984" w:type="dxa"/>
          </w:tcPr>
          <w:p w14:paraId="36BC26E6" w14:textId="77777777" w:rsidR="00194FF1" w:rsidRPr="00483085" w:rsidRDefault="00194FF1" w:rsidP="00027EEC">
            <w:pPr>
              <w:widowControl w:val="0"/>
              <w:autoSpaceDE w:val="0"/>
              <w:autoSpaceDN w:val="0"/>
              <w:spacing w:before="1" w:after="0" w:line="240" w:lineRule="auto"/>
              <w:ind w:left="157"/>
              <w:rPr>
                <w:rFonts w:ascii="Arial" w:eastAsia="Arial" w:hAnsi="Arial" w:cs="Arial"/>
                <w:sz w:val="24"/>
                <w:lang w:eastAsia="en-GB" w:bidi="en-GB"/>
              </w:rPr>
            </w:pPr>
            <w:r w:rsidRPr="00483085">
              <w:rPr>
                <w:rFonts w:ascii="Arial" w:eastAsia="Arial" w:hAnsi="Arial" w:cs="Arial"/>
                <w:color w:val="221F1F"/>
                <w:sz w:val="24"/>
                <w:lang w:eastAsia="en-GB" w:bidi="en-GB"/>
              </w:rPr>
              <w:t>Officer</w:t>
            </w:r>
          </w:p>
        </w:tc>
      </w:tr>
    </w:tbl>
    <w:p w14:paraId="392C24A1" w14:textId="77777777" w:rsidR="00194FF1" w:rsidRDefault="00194FF1" w:rsidP="00194FF1"/>
    <w:p w14:paraId="6D85FE71" w14:textId="77777777" w:rsidR="00194FF1" w:rsidRPr="00361BF6" w:rsidRDefault="00194FF1" w:rsidP="0028669E">
      <w:pPr>
        <w:pStyle w:val="BodyText2"/>
        <w:spacing w:after="0" w:line="240" w:lineRule="auto"/>
        <w:contextualSpacing/>
        <w:jc w:val="both"/>
        <w:rPr>
          <w:rFonts w:cs="Arial"/>
        </w:rPr>
      </w:pPr>
    </w:p>
    <w:sectPr w:rsidR="00194FF1" w:rsidRPr="00361BF6" w:rsidSect="004C1537">
      <w:footerReference w:type="default" r:id="rId12"/>
      <w:headerReference w:type="first" r:id="rId13"/>
      <w:footerReference w:type="first" r:id="rId14"/>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C986A" w14:textId="77777777" w:rsidR="00306856" w:rsidRDefault="00306856" w:rsidP="00C619B4">
      <w:pPr>
        <w:spacing w:after="0" w:line="240" w:lineRule="auto"/>
      </w:pPr>
      <w:r>
        <w:separator/>
      </w:r>
    </w:p>
  </w:endnote>
  <w:endnote w:type="continuationSeparator" w:id="0">
    <w:p w14:paraId="35CB38C0" w14:textId="77777777" w:rsidR="00306856" w:rsidRDefault="00306856" w:rsidP="00C619B4">
      <w:pPr>
        <w:spacing w:after="0" w:line="240" w:lineRule="auto"/>
      </w:pPr>
      <w:r>
        <w:continuationSeparator/>
      </w:r>
    </w:p>
  </w:endnote>
  <w:endnote w:type="continuationNotice" w:id="1">
    <w:p w14:paraId="34A9232F" w14:textId="77777777" w:rsidR="00306856" w:rsidRDefault="003068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767554"/>
      <w:docPartObj>
        <w:docPartGallery w:val="Page Numbers (Bottom of Page)"/>
        <w:docPartUnique/>
      </w:docPartObj>
    </w:sdtPr>
    <w:sdtEndPr>
      <w:rPr>
        <w:rFonts w:ascii="Arial" w:hAnsi="Arial" w:cs="Arial"/>
        <w:noProof/>
      </w:rPr>
    </w:sdtEndPr>
    <w:sdtContent>
      <w:p w14:paraId="61A9F220" w14:textId="77777777" w:rsidR="00ED4C8C" w:rsidRPr="00140628" w:rsidRDefault="00ED4C8C">
        <w:pPr>
          <w:pStyle w:val="Footer"/>
          <w:jc w:val="right"/>
          <w:rPr>
            <w:rFonts w:ascii="Arial" w:hAnsi="Arial" w:cs="Arial"/>
          </w:rPr>
        </w:pPr>
        <w:r w:rsidRPr="00140628">
          <w:rPr>
            <w:rFonts w:ascii="Arial" w:hAnsi="Arial" w:cs="Arial"/>
          </w:rPr>
          <w:fldChar w:fldCharType="begin"/>
        </w:r>
        <w:r w:rsidRPr="00140628">
          <w:rPr>
            <w:rFonts w:ascii="Arial" w:hAnsi="Arial" w:cs="Arial"/>
          </w:rPr>
          <w:instrText xml:space="preserve"> PAGE   \* MERGEFORMAT </w:instrText>
        </w:r>
        <w:r w:rsidRPr="00140628">
          <w:rPr>
            <w:rFonts w:ascii="Arial" w:hAnsi="Arial" w:cs="Arial"/>
          </w:rPr>
          <w:fldChar w:fldCharType="separate"/>
        </w:r>
        <w:r w:rsidRPr="00140628">
          <w:rPr>
            <w:rFonts w:ascii="Arial" w:hAnsi="Arial" w:cs="Arial"/>
            <w:noProof/>
          </w:rPr>
          <w:t>2</w:t>
        </w:r>
        <w:r w:rsidRPr="00140628">
          <w:rPr>
            <w:rFonts w:ascii="Arial" w:hAnsi="Arial" w:cs="Arial"/>
            <w:noProof/>
          </w:rPr>
          <w:fldChar w:fldCharType="end"/>
        </w:r>
      </w:p>
    </w:sdtContent>
  </w:sdt>
  <w:p w14:paraId="4FBAAE55" w14:textId="77777777" w:rsidR="00ED4C8C" w:rsidRDefault="00ED4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EBE1" w14:textId="77777777" w:rsidR="00361BF6" w:rsidRDefault="00690BB0">
    <w:pPr>
      <w:pStyle w:val="Footer"/>
    </w:pPr>
    <w:r>
      <w:rPr>
        <w:noProof/>
      </w:rPr>
      <w:drawing>
        <wp:anchor distT="0" distB="0" distL="114300" distR="114300" simplePos="0" relativeHeight="251667456" behindDoc="1" locked="0" layoutInCell="1" allowOverlap="1" wp14:anchorId="134E1BA6" wp14:editId="06851485">
          <wp:simplePos x="0" y="0"/>
          <wp:positionH relativeFrom="column">
            <wp:posOffset>-912495</wp:posOffset>
          </wp:positionH>
          <wp:positionV relativeFrom="paragraph">
            <wp:posOffset>-409575</wp:posOffset>
          </wp:positionV>
          <wp:extent cx="8202930" cy="1030605"/>
          <wp:effectExtent l="0" t="0" r="7620" b="0"/>
          <wp:wrapNone/>
          <wp:docPr id="45" name="Picture 4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screenshot of a compute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202930" cy="10306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F199B" w14:textId="77777777" w:rsidR="00306856" w:rsidRDefault="00306856" w:rsidP="00C619B4">
      <w:pPr>
        <w:spacing w:after="0" w:line="240" w:lineRule="auto"/>
      </w:pPr>
      <w:r>
        <w:separator/>
      </w:r>
    </w:p>
  </w:footnote>
  <w:footnote w:type="continuationSeparator" w:id="0">
    <w:p w14:paraId="390C77FF" w14:textId="77777777" w:rsidR="00306856" w:rsidRDefault="00306856" w:rsidP="00C619B4">
      <w:pPr>
        <w:spacing w:after="0" w:line="240" w:lineRule="auto"/>
      </w:pPr>
      <w:r>
        <w:continuationSeparator/>
      </w:r>
    </w:p>
  </w:footnote>
  <w:footnote w:type="continuationNotice" w:id="1">
    <w:p w14:paraId="57FE2102" w14:textId="77777777" w:rsidR="00306856" w:rsidRDefault="003068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7744" w14:textId="080F8A58" w:rsidR="007660D2" w:rsidRDefault="007660D2" w:rsidP="007660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B7B96"/>
    <w:multiLevelType w:val="hybridMultilevel"/>
    <w:tmpl w:val="1B166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D9643A9"/>
    <w:multiLevelType w:val="hybridMultilevel"/>
    <w:tmpl w:val="F32C908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20D250E1"/>
    <w:multiLevelType w:val="hybridMultilevel"/>
    <w:tmpl w:val="FBFED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01208"/>
    <w:multiLevelType w:val="hybridMultilevel"/>
    <w:tmpl w:val="E3E0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5501B"/>
    <w:multiLevelType w:val="hybridMultilevel"/>
    <w:tmpl w:val="4E00ABC0"/>
    <w:lvl w:ilvl="0" w:tplc="62F25F80">
      <w:start w:val="1"/>
      <w:numFmt w:val="bullet"/>
      <w:pStyle w:val="Bulletedlist"/>
      <w:lvlText w:val=""/>
      <w:lvlJc w:val="left"/>
      <w:pPr>
        <w:ind w:left="-720" w:hanging="360"/>
      </w:pPr>
      <w:rPr>
        <w:rFonts w:ascii="Symbol" w:hAnsi="Symbol" w:hint="default"/>
      </w:rPr>
    </w:lvl>
    <w:lvl w:ilvl="1" w:tplc="08090003">
      <w:start w:val="1"/>
      <w:numFmt w:val="bullet"/>
      <w:lvlText w:val="o"/>
      <w:lvlJc w:val="left"/>
      <w:pPr>
        <w:ind w:left="0" w:hanging="360"/>
      </w:pPr>
      <w:rPr>
        <w:rFonts w:ascii="Courier New" w:hAnsi="Courier New" w:cs="Courier New" w:hint="default"/>
      </w:rPr>
    </w:lvl>
    <w:lvl w:ilvl="2" w:tplc="08090005">
      <w:start w:val="1"/>
      <w:numFmt w:val="bullet"/>
      <w:lvlText w:val=""/>
      <w:lvlJc w:val="left"/>
      <w:pPr>
        <w:ind w:left="720" w:hanging="360"/>
      </w:pPr>
      <w:rPr>
        <w:rFonts w:ascii="Wingdings" w:hAnsi="Wingdings" w:hint="default"/>
      </w:rPr>
    </w:lvl>
    <w:lvl w:ilvl="3" w:tplc="08090001">
      <w:start w:val="1"/>
      <w:numFmt w:val="bullet"/>
      <w:lvlText w:val=""/>
      <w:lvlJc w:val="left"/>
      <w:pPr>
        <w:ind w:left="1440" w:hanging="360"/>
      </w:pPr>
      <w:rPr>
        <w:rFonts w:ascii="Symbol" w:hAnsi="Symbol" w:hint="default"/>
      </w:rPr>
    </w:lvl>
    <w:lvl w:ilvl="4" w:tplc="08090003">
      <w:start w:val="1"/>
      <w:numFmt w:val="bullet"/>
      <w:lvlText w:val="o"/>
      <w:lvlJc w:val="left"/>
      <w:pPr>
        <w:ind w:left="2160" w:hanging="360"/>
      </w:pPr>
      <w:rPr>
        <w:rFonts w:ascii="Courier New" w:hAnsi="Courier New" w:cs="Courier New" w:hint="default"/>
      </w:rPr>
    </w:lvl>
    <w:lvl w:ilvl="5" w:tplc="08090005">
      <w:start w:val="1"/>
      <w:numFmt w:val="bullet"/>
      <w:lvlText w:val=""/>
      <w:lvlJc w:val="left"/>
      <w:pPr>
        <w:ind w:left="2880" w:hanging="360"/>
      </w:pPr>
      <w:rPr>
        <w:rFonts w:ascii="Wingdings" w:hAnsi="Wingdings" w:hint="default"/>
      </w:rPr>
    </w:lvl>
    <w:lvl w:ilvl="6" w:tplc="08090001">
      <w:start w:val="1"/>
      <w:numFmt w:val="bullet"/>
      <w:lvlText w:val=""/>
      <w:lvlJc w:val="left"/>
      <w:pPr>
        <w:ind w:left="3600" w:hanging="360"/>
      </w:pPr>
      <w:rPr>
        <w:rFonts w:ascii="Symbol" w:hAnsi="Symbol" w:hint="default"/>
      </w:rPr>
    </w:lvl>
    <w:lvl w:ilvl="7" w:tplc="08090003">
      <w:start w:val="1"/>
      <w:numFmt w:val="bullet"/>
      <w:lvlText w:val="o"/>
      <w:lvlJc w:val="left"/>
      <w:pPr>
        <w:ind w:left="4320" w:hanging="360"/>
      </w:pPr>
      <w:rPr>
        <w:rFonts w:ascii="Courier New" w:hAnsi="Courier New" w:cs="Courier New" w:hint="default"/>
      </w:rPr>
    </w:lvl>
    <w:lvl w:ilvl="8" w:tplc="08090005">
      <w:start w:val="1"/>
      <w:numFmt w:val="bullet"/>
      <w:lvlText w:val=""/>
      <w:lvlJc w:val="left"/>
      <w:pPr>
        <w:ind w:left="5040" w:hanging="360"/>
      </w:pPr>
      <w:rPr>
        <w:rFonts w:ascii="Wingdings" w:hAnsi="Wingdings" w:hint="default"/>
      </w:rPr>
    </w:lvl>
  </w:abstractNum>
  <w:abstractNum w:abstractNumId="5" w15:restartNumberingAfterBreak="0">
    <w:nsid w:val="2A5075E9"/>
    <w:multiLevelType w:val="hybridMultilevel"/>
    <w:tmpl w:val="8FC291B0"/>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AA08F2"/>
    <w:multiLevelType w:val="hybridMultilevel"/>
    <w:tmpl w:val="CBA8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C4E23"/>
    <w:multiLevelType w:val="hybridMultilevel"/>
    <w:tmpl w:val="D50E26FE"/>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84107"/>
    <w:multiLevelType w:val="hybridMultilevel"/>
    <w:tmpl w:val="0F0E0224"/>
    <w:lvl w:ilvl="0" w:tplc="FBFA5500">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3E60955"/>
    <w:multiLevelType w:val="hybridMultilevel"/>
    <w:tmpl w:val="656E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240B70"/>
    <w:multiLevelType w:val="hybridMultilevel"/>
    <w:tmpl w:val="5B3C67C4"/>
    <w:lvl w:ilvl="0" w:tplc="594AD7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3D6BCE"/>
    <w:multiLevelType w:val="hybridMultilevel"/>
    <w:tmpl w:val="CCCA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FD589D"/>
    <w:multiLevelType w:val="hybridMultilevel"/>
    <w:tmpl w:val="E9B8C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60514E4"/>
    <w:multiLevelType w:val="hybridMultilevel"/>
    <w:tmpl w:val="273212EA"/>
    <w:lvl w:ilvl="0" w:tplc="E816537A">
      <w:numFmt w:val="bullet"/>
      <w:lvlText w:val=""/>
      <w:lvlJc w:val="left"/>
      <w:pPr>
        <w:ind w:left="859" w:hanging="303"/>
      </w:pPr>
      <w:rPr>
        <w:rFonts w:ascii="Symbol" w:eastAsia="Symbol" w:hAnsi="Symbol" w:cs="Symbol" w:hint="default"/>
        <w:color w:val="1C6CB4"/>
        <w:w w:val="100"/>
        <w:sz w:val="24"/>
        <w:szCs w:val="24"/>
        <w:lang w:val="en-GB" w:eastAsia="en-GB" w:bidi="en-GB"/>
      </w:rPr>
    </w:lvl>
    <w:lvl w:ilvl="1" w:tplc="04F0E17A">
      <w:numFmt w:val="bullet"/>
      <w:lvlText w:val="•"/>
      <w:lvlJc w:val="left"/>
      <w:pPr>
        <w:ind w:left="1395" w:hanging="303"/>
      </w:pPr>
      <w:rPr>
        <w:rFonts w:hint="default"/>
        <w:lang w:val="en-GB" w:eastAsia="en-GB" w:bidi="en-GB"/>
      </w:rPr>
    </w:lvl>
    <w:lvl w:ilvl="2" w:tplc="BA026A30">
      <w:numFmt w:val="bullet"/>
      <w:lvlText w:val="•"/>
      <w:lvlJc w:val="left"/>
      <w:pPr>
        <w:ind w:left="1931" w:hanging="303"/>
      </w:pPr>
      <w:rPr>
        <w:rFonts w:hint="default"/>
        <w:lang w:val="en-GB" w:eastAsia="en-GB" w:bidi="en-GB"/>
      </w:rPr>
    </w:lvl>
    <w:lvl w:ilvl="3" w:tplc="21924448">
      <w:numFmt w:val="bullet"/>
      <w:lvlText w:val="•"/>
      <w:lvlJc w:val="left"/>
      <w:pPr>
        <w:ind w:left="2466" w:hanging="303"/>
      </w:pPr>
      <w:rPr>
        <w:rFonts w:hint="default"/>
        <w:lang w:val="en-GB" w:eastAsia="en-GB" w:bidi="en-GB"/>
      </w:rPr>
    </w:lvl>
    <w:lvl w:ilvl="4" w:tplc="F2E28DBA">
      <w:numFmt w:val="bullet"/>
      <w:lvlText w:val="•"/>
      <w:lvlJc w:val="left"/>
      <w:pPr>
        <w:ind w:left="3002" w:hanging="303"/>
      </w:pPr>
      <w:rPr>
        <w:rFonts w:hint="default"/>
        <w:lang w:val="en-GB" w:eastAsia="en-GB" w:bidi="en-GB"/>
      </w:rPr>
    </w:lvl>
    <w:lvl w:ilvl="5" w:tplc="82E4F554">
      <w:numFmt w:val="bullet"/>
      <w:lvlText w:val="•"/>
      <w:lvlJc w:val="left"/>
      <w:pPr>
        <w:ind w:left="3538" w:hanging="303"/>
      </w:pPr>
      <w:rPr>
        <w:rFonts w:hint="default"/>
        <w:lang w:val="en-GB" w:eastAsia="en-GB" w:bidi="en-GB"/>
      </w:rPr>
    </w:lvl>
    <w:lvl w:ilvl="6" w:tplc="42BA3E96">
      <w:numFmt w:val="bullet"/>
      <w:lvlText w:val="•"/>
      <w:lvlJc w:val="left"/>
      <w:pPr>
        <w:ind w:left="4073" w:hanging="303"/>
      </w:pPr>
      <w:rPr>
        <w:rFonts w:hint="default"/>
        <w:lang w:val="en-GB" w:eastAsia="en-GB" w:bidi="en-GB"/>
      </w:rPr>
    </w:lvl>
    <w:lvl w:ilvl="7" w:tplc="8DE4D714">
      <w:numFmt w:val="bullet"/>
      <w:lvlText w:val="•"/>
      <w:lvlJc w:val="left"/>
      <w:pPr>
        <w:ind w:left="4609" w:hanging="303"/>
      </w:pPr>
      <w:rPr>
        <w:rFonts w:hint="default"/>
        <w:lang w:val="en-GB" w:eastAsia="en-GB" w:bidi="en-GB"/>
      </w:rPr>
    </w:lvl>
    <w:lvl w:ilvl="8" w:tplc="B734EA02">
      <w:numFmt w:val="bullet"/>
      <w:lvlText w:val="•"/>
      <w:lvlJc w:val="left"/>
      <w:pPr>
        <w:ind w:left="5144" w:hanging="303"/>
      </w:pPr>
      <w:rPr>
        <w:rFonts w:hint="default"/>
        <w:lang w:val="en-GB" w:eastAsia="en-GB" w:bidi="en-GB"/>
      </w:rPr>
    </w:lvl>
  </w:abstractNum>
  <w:abstractNum w:abstractNumId="14" w15:restartNumberingAfterBreak="0">
    <w:nsid w:val="7B316A50"/>
    <w:multiLevelType w:val="hybridMultilevel"/>
    <w:tmpl w:val="8BC23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0408036">
    <w:abstractNumId w:val="8"/>
  </w:num>
  <w:num w:numId="2" w16cid:durableId="1462459693">
    <w:abstractNumId w:val="9"/>
  </w:num>
  <w:num w:numId="3" w16cid:durableId="137655721">
    <w:abstractNumId w:val="2"/>
  </w:num>
  <w:num w:numId="4" w16cid:durableId="1333341413">
    <w:abstractNumId w:val="4"/>
  </w:num>
  <w:num w:numId="5" w16cid:durableId="608203896">
    <w:abstractNumId w:val="0"/>
  </w:num>
  <w:num w:numId="6" w16cid:durableId="1103498613">
    <w:abstractNumId w:val="12"/>
  </w:num>
  <w:num w:numId="7" w16cid:durableId="1336303589">
    <w:abstractNumId w:val="1"/>
  </w:num>
  <w:num w:numId="8" w16cid:durableId="1144152946">
    <w:abstractNumId w:val="5"/>
  </w:num>
  <w:num w:numId="9" w16cid:durableId="818427993">
    <w:abstractNumId w:val="7"/>
  </w:num>
  <w:num w:numId="10" w16cid:durableId="335116895">
    <w:abstractNumId w:val="11"/>
  </w:num>
  <w:num w:numId="11" w16cid:durableId="1552693613">
    <w:abstractNumId w:val="3"/>
  </w:num>
  <w:num w:numId="12" w16cid:durableId="1987857199">
    <w:abstractNumId w:val="10"/>
  </w:num>
  <w:num w:numId="13" w16cid:durableId="172964830">
    <w:abstractNumId w:val="14"/>
  </w:num>
  <w:num w:numId="14" w16cid:durableId="2033876474">
    <w:abstractNumId w:val="6"/>
  </w:num>
  <w:num w:numId="15" w16cid:durableId="12996073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468"/>
    <w:rsid w:val="000100B2"/>
    <w:rsid w:val="00013A80"/>
    <w:rsid w:val="000142E7"/>
    <w:rsid w:val="00016160"/>
    <w:rsid w:val="00020250"/>
    <w:rsid w:val="00022312"/>
    <w:rsid w:val="00023131"/>
    <w:rsid w:val="00023A8F"/>
    <w:rsid w:val="000346F6"/>
    <w:rsid w:val="00046345"/>
    <w:rsid w:val="00054BAC"/>
    <w:rsid w:val="00070378"/>
    <w:rsid w:val="000878BD"/>
    <w:rsid w:val="00090FBB"/>
    <w:rsid w:val="000A2A75"/>
    <w:rsid w:val="000B3609"/>
    <w:rsid w:val="000D6F3D"/>
    <w:rsid w:val="000E6B56"/>
    <w:rsid w:val="000E7C60"/>
    <w:rsid w:val="000F20E6"/>
    <w:rsid w:val="00105231"/>
    <w:rsid w:val="0011002B"/>
    <w:rsid w:val="0011117F"/>
    <w:rsid w:val="001118BE"/>
    <w:rsid w:val="00112741"/>
    <w:rsid w:val="0013096A"/>
    <w:rsid w:val="00135EB4"/>
    <w:rsid w:val="00140628"/>
    <w:rsid w:val="0014541A"/>
    <w:rsid w:val="00157DB5"/>
    <w:rsid w:val="0016052B"/>
    <w:rsid w:val="001625DD"/>
    <w:rsid w:val="00167DDA"/>
    <w:rsid w:val="00174F6E"/>
    <w:rsid w:val="001759E7"/>
    <w:rsid w:val="00181D0B"/>
    <w:rsid w:val="00183266"/>
    <w:rsid w:val="00184372"/>
    <w:rsid w:val="00194FF1"/>
    <w:rsid w:val="00197C5E"/>
    <w:rsid w:val="001A389B"/>
    <w:rsid w:val="001B502E"/>
    <w:rsid w:val="001B53C1"/>
    <w:rsid w:val="001B62F3"/>
    <w:rsid w:val="001C2C67"/>
    <w:rsid w:val="001E2B2A"/>
    <w:rsid w:val="001E41D4"/>
    <w:rsid w:val="001E43F4"/>
    <w:rsid w:val="001F3AC8"/>
    <w:rsid w:val="001F665C"/>
    <w:rsid w:val="00203DA3"/>
    <w:rsid w:val="00215304"/>
    <w:rsid w:val="0022222E"/>
    <w:rsid w:val="002234CF"/>
    <w:rsid w:val="00231D99"/>
    <w:rsid w:val="0024113D"/>
    <w:rsid w:val="00244C4B"/>
    <w:rsid w:val="00253B19"/>
    <w:rsid w:val="00270BFC"/>
    <w:rsid w:val="00275A13"/>
    <w:rsid w:val="0028669E"/>
    <w:rsid w:val="002952CB"/>
    <w:rsid w:val="00295D7A"/>
    <w:rsid w:val="002A388D"/>
    <w:rsid w:val="002D11E3"/>
    <w:rsid w:val="002E30B3"/>
    <w:rsid w:val="002E7555"/>
    <w:rsid w:val="00306856"/>
    <w:rsid w:val="00306972"/>
    <w:rsid w:val="0031594E"/>
    <w:rsid w:val="003349E8"/>
    <w:rsid w:val="00351AA5"/>
    <w:rsid w:val="00360067"/>
    <w:rsid w:val="00360967"/>
    <w:rsid w:val="003614A3"/>
    <w:rsid w:val="00361BF6"/>
    <w:rsid w:val="0036457D"/>
    <w:rsid w:val="003745B1"/>
    <w:rsid w:val="00375EFD"/>
    <w:rsid w:val="00387589"/>
    <w:rsid w:val="003915A6"/>
    <w:rsid w:val="003A0DAB"/>
    <w:rsid w:val="003A2AFC"/>
    <w:rsid w:val="003A42A4"/>
    <w:rsid w:val="003B1046"/>
    <w:rsid w:val="003B15A0"/>
    <w:rsid w:val="003B1BFB"/>
    <w:rsid w:val="003B30D8"/>
    <w:rsid w:val="003D3213"/>
    <w:rsid w:val="003D540D"/>
    <w:rsid w:val="003D635D"/>
    <w:rsid w:val="003E65D0"/>
    <w:rsid w:val="003E7FAD"/>
    <w:rsid w:val="004000D8"/>
    <w:rsid w:val="004019CC"/>
    <w:rsid w:val="00401E03"/>
    <w:rsid w:val="004076F8"/>
    <w:rsid w:val="00407B8A"/>
    <w:rsid w:val="00410161"/>
    <w:rsid w:val="0041647C"/>
    <w:rsid w:val="004169DD"/>
    <w:rsid w:val="00421095"/>
    <w:rsid w:val="004248B7"/>
    <w:rsid w:val="00434791"/>
    <w:rsid w:val="00434914"/>
    <w:rsid w:val="004557D1"/>
    <w:rsid w:val="0046053A"/>
    <w:rsid w:val="00471974"/>
    <w:rsid w:val="00471CE9"/>
    <w:rsid w:val="0047350A"/>
    <w:rsid w:val="00476638"/>
    <w:rsid w:val="00487737"/>
    <w:rsid w:val="00490111"/>
    <w:rsid w:val="00497C7C"/>
    <w:rsid w:val="004B324A"/>
    <w:rsid w:val="004C1537"/>
    <w:rsid w:val="004E049E"/>
    <w:rsid w:val="004F172B"/>
    <w:rsid w:val="005035B3"/>
    <w:rsid w:val="00511D6A"/>
    <w:rsid w:val="00512BCA"/>
    <w:rsid w:val="0051593C"/>
    <w:rsid w:val="00517627"/>
    <w:rsid w:val="00526F63"/>
    <w:rsid w:val="00530403"/>
    <w:rsid w:val="00536FF5"/>
    <w:rsid w:val="00541697"/>
    <w:rsid w:val="0054191C"/>
    <w:rsid w:val="0054466A"/>
    <w:rsid w:val="0055373B"/>
    <w:rsid w:val="0057251A"/>
    <w:rsid w:val="00572E2E"/>
    <w:rsid w:val="00572E72"/>
    <w:rsid w:val="005B69CE"/>
    <w:rsid w:val="005C3407"/>
    <w:rsid w:val="005C76C5"/>
    <w:rsid w:val="005D06B0"/>
    <w:rsid w:val="005D18DF"/>
    <w:rsid w:val="005F6FAC"/>
    <w:rsid w:val="005F7184"/>
    <w:rsid w:val="006069DD"/>
    <w:rsid w:val="00606CD1"/>
    <w:rsid w:val="0061046A"/>
    <w:rsid w:val="006167DC"/>
    <w:rsid w:val="00623544"/>
    <w:rsid w:val="00631A46"/>
    <w:rsid w:val="00662C62"/>
    <w:rsid w:val="0067646C"/>
    <w:rsid w:val="00684702"/>
    <w:rsid w:val="00690BB0"/>
    <w:rsid w:val="00691E65"/>
    <w:rsid w:val="006A056B"/>
    <w:rsid w:val="006A0CA0"/>
    <w:rsid w:val="006A49C8"/>
    <w:rsid w:val="006A68B7"/>
    <w:rsid w:val="006D3B89"/>
    <w:rsid w:val="006D48AA"/>
    <w:rsid w:val="006F02C2"/>
    <w:rsid w:val="006F2763"/>
    <w:rsid w:val="007177A5"/>
    <w:rsid w:val="007272B5"/>
    <w:rsid w:val="007414FC"/>
    <w:rsid w:val="00743560"/>
    <w:rsid w:val="007438EB"/>
    <w:rsid w:val="00746AD9"/>
    <w:rsid w:val="00760FDE"/>
    <w:rsid w:val="00763618"/>
    <w:rsid w:val="007649A4"/>
    <w:rsid w:val="007660D2"/>
    <w:rsid w:val="00771D9F"/>
    <w:rsid w:val="0079125D"/>
    <w:rsid w:val="007A73AD"/>
    <w:rsid w:val="007B799C"/>
    <w:rsid w:val="007E1587"/>
    <w:rsid w:val="007F3BE4"/>
    <w:rsid w:val="00804426"/>
    <w:rsid w:val="00804EDC"/>
    <w:rsid w:val="00806A1E"/>
    <w:rsid w:val="008124B2"/>
    <w:rsid w:val="00815E00"/>
    <w:rsid w:val="008169CE"/>
    <w:rsid w:val="0082284D"/>
    <w:rsid w:val="008349C1"/>
    <w:rsid w:val="00837048"/>
    <w:rsid w:val="008421A6"/>
    <w:rsid w:val="00853A6F"/>
    <w:rsid w:val="00853ED0"/>
    <w:rsid w:val="0086790C"/>
    <w:rsid w:val="00870352"/>
    <w:rsid w:val="0087211A"/>
    <w:rsid w:val="008750EE"/>
    <w:rsid w:val="00876F7A"/>
    <w:rsid w:val="00895712"/>
    <w:rsid w:val="008D0878"/>
    <w:rsid w:val="008D150F"/>
    <w:rsid w:val="008E440F"/>
    <w:rsid w:val="008F2BD0"/>
    <w:rsid w:val="00906D20"/>
    <w:rsid w:val="00915DC8"/>
    <w:rsid w:val="0093358C"/>
    <w:rsid w:val="009411F7"/>
    <w:rsid w:val="009479E6"/>
    <w:rsid w:val="00956AD7"/>
    <w:rsid w:val="009700A1"/>
    <w:rsid w:val="00970234"/>
    <w:rsid w:val="00983605"/>
    <w:rsid w:val="00983927"/>
    <w:rsid w:val="009970BF"/>
    <w:rsid w:val="0099745A"/>
    <w:rsid w:val="009B5623"/>
    <w:rsid w:val="009B7451"/>
    <w:rsid w:val="009D0A42"/>
    <w:rsid w:val="009D0ECC"/>
    <w:rsid w:val="009E1B73"/>
    <w:rsid w:val="009F66B3"/>
    <w:rsid w:val="00A07F88"/>
    <w:rsid w:val="00A26958"/>
    <w:rsid w:val="00A35D80"/>
    <w:rsid w:val="00A4483B"/>
    <w:rsid w:val="00A46E62"/>
    <w:rsid w:val="00A5637A"/>
    <w:rsid w:val="00A77415"/>
    <w:rsid w:val="00A92925"/>
    <w:rsid w:val="00A96D20"/>
    <w:rsid w:val="00AA1F40"/>
    <w:rsid w:val="00AA2B82"/>
    <w:rsid w:val="00AB069D"/>
    <w:rsid w:val="00AB19E4"/>
    <w:rsid w:val="00AD3162"/>
    <w:rsid w:val="00AD476B"/>
    <w:rsid w:val="00AD65FA"/>
    <w:rsid w:val="00AE07F8"/>
    <w:rsid w:val="00AF7197"/>
    <w:rsid w:val="00B10AB0"/>
    <w:rsid w:val="00B11A8E"/>
    <w:rsid w:val="00B26D57"/>
    <w:rsid w:val="00B3299C"/>
    <w:rsid w:val="00B4143B"/>
    <w:rsid w:val="00B4333D"/>
    <w:rsid w:val="00B455AC"/>
    <w:rsid w:val="00B472B0"/>
    <w:rsid w:val="00B57328"/>
    <w:rsid w:val="00B75468"/>
    <w:rsid w:val="00B879CF"/>
    <w:rsid w:val="00B952F6"/>
    <w:rsid w:val="00BA50CC"/>
    <w:rsid w:val="00BB2962"/>
    <w:rsid w:val="00BC667D"/>
    <w:rsid w:val="00BC6B55"/>
    <w:rsid w:val="00BD771D"/>
    <w:rsid w:val="00BE2878"/>
    <w:rsid w:val="00BE33E4"/>
    <w:rsid w:val="00C018B7"/>
    <w:rsid w:val="00C06339"/>
    <w:rsid w:val="00C200BC"/>
    <w:rsid w:val="00C21EF6"/>
    <w:rsid w:val="00C23901"/>
    <w:rsid w:val="00C259C2"/>
    <w:rsid w:val="00C51364"/>
    <w:rsid w:val="00C619B4"/>
    <w:rsid w:val="00C71EB4"/>
    <w:rsid w:val="00C75971"/>
    <w:rsid w:val="00CA4151"/>
    <w:rsid w:val="00CB22E7"/>
    <w:rsid w:val="00CD1FA7"/>
    <w:rsid w:val="00CD2F81"/>
    <w:rsid w:val="00CD482D"/>
    <w:rsid w:val="00CD5446"/>
    <w:rsid w:val="00CD5B45"/>
    <w:rsid w:val="00D00720"/>
    <w:rsid w:val="00D0244C"/>
    <w:rsid w:val="00D35A44"/>
    <w:rsid w:val="00D7262E"/>
    <w:rsid w:val="00D86211"/>
    <w:rsid w:val="00DA1010"/>
    <w:rsid w:val="00DB2703"/>
    <w:rsid w:val="00DB2D74"/>
    <w:rsid w:val="00DB76B9"/>
    <w:rsid w:val="00DC3796"/>
    <w:rsid w:val="00DD16D5"/>
    <w:rsid w:val="00DD4F52"/>
    <w:rsid w:val="00DE3E55"/>
    <w:rsid w:val="00DE6854"/>
    <w:rsid w:val="00E066D7"/>
    <w:rsid w:val="00E15928"/>
    <w:rsid w:val="00E33888"/>
    <w:rsid w:val="00E40208"/>
    <w:rsid w:val="00E445BE"/>
    <w:rsid w:val="00E66F36"/>
    <w:rsid w:val="00E80A7D"/>
    <w:rsid w:val="00E826A4"/>
    <w:rsid w:val="00E83FAD"/>
    <w:rsid w:val="00E9011F"/>
    <w:rsid w:val="00EA27D0"/>
    <w:rsid w:val="00EA5336"/>
    <w:rsid w:val="00EA698C"/>
    <w:rsid w:val="00EB4BA6"/>
    <w:rsid w:val="00EC516E"/>
    <w:rsid w:val="00EC5465"/>
    <w:rsid w:val="00EC5AED"/>
    <w:rsid w:val="00EC6827"/>
    <w:rsid w:val="00EC7FD4"/>
    <w:rsid w:val="00ED4193"/>
    <w:rsid w:val="00ED4C8C"/>
    <w:rsid w:val="00ED57C6"/>
    <w:rsid w:val="00EF30E9"/>
    <w:rsid w:val="00EF767E"/>
    <w:rsid w:val="00F42905"/>
    <w:rsid w:val="00F45034"/>
    <w:rsid w:val="00F450AC"/>
    <w:rsid w:val="00F46DC2"/>
    <w:rsid w:val="00F540C8"/>
    <w:rsid w:val="00F542D4"/>
    <w:rsid w:val="00F55953"/>
    <w:rsid w:val="00F55E31"/>
    <w:rsid w:val="00F573BC"/>
    <w:rsid w:val="00F72959"/>
    <w:rsid w:val="00F77CE2"/>
    <w:rsid w:val="00F870F7"/>
    <w:rsid w:val="00F900CA"/>
    <w:rsid w:val="00F92077"/>
    <w:rsid w:val="00F93C24"/>
    <w:rsid w:val="00F94E6E"/>
    <w:rsid w:val="00FD1C10"/>
    <w:rsid w:val="00FD7772"/>
    <w:rsid w:val="00FE21E4"/>
    <w:rsid w:val="00FE2405"/>
    <w:rsid w:val="00FE2865"/>
    <w:rsid w:val="00FF6EFC"/>
    <w:rsid w:val="2E434912"/>
    <w:rsid w:val="476BD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EC33A"/>
  <w15:chartTrackingRefBased/>
  <w15:docId w15:val="{9820854D-20D1-4348-B72D-C19BF0B8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rsid w:val="007660D2"/>
    <w:pPr>
      <w:spacing w:before="240" w:after="60" w:line="240" w:lineRule="auto"/>
      <w:outlineLvl w:val="1"/>
    </w:pPr>
    <w:rPr>
      <w:rFonts w:ascii="Arial" w:eastAsia="SimSun" w:hAnsi="Arial" w:cs="Times New Roman"/>
      <w:b/>
      <w:color w:val="E7E6E6" w:themeColor="background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50AC"/>
    <w:rPr>
      <w:sz w:val="16"/>
      <w:szCs w:val="16"/>
    </w:rPr>
  </w:style>
  <w:style w:type="paragraph" w:styleId="CommentText">
    <w:name w:val="annotation text"/>
    <w:basedOn w:val="Normal"/>
    <w:link w:val="CommentTextChar"/>
    <w:uiPriority w:val="99"/>
    <w:semiHidden/>
    <w:unhideWhenUsed/>
    <w:rsid w:val="00F450AC"/>
    <w:pPr>
      <w:spacing w:line="240" w:lineRule="auto"/>
    </w:pPr>
    <w:rPr>
      <w:sz w:val="20"/>
      <w:szCs w:val="20"/>
    </w:rPr>
  </w:style>
  <w:style w:type="character" w:customStyle="1" w:styleId="CommentTextChar">
    <w:name w:val="Comment Text Char"/>
    <w:basedOn w:val="DefaultParagraphFont"/>
    <w:link w:val="CommentText"/>
    <w:uiPriority w:val="99"/>
    <w:semiHidden/>
    <w:rsid w:val="00F450AC"/>
    <w:rPr>
      <w:sz w:val="20"/>
      <w:szCs w:val="20"/>
    </w:rPr>
  </w:style>
  <w:style w:type="paragraph" w:styleId="CommentSubject">
    <w:name w:val="annotation subject"/>
    <w:basedOn w:val="CommentText"/>
    <w:next w:val="CommentText"/>
    <w:link w:val="CommentSubjectChar"/>
    <w:uiPriority w:val="99"/>
    <w:semiHidden/>
    <w:unhideWhenUsed/>
    <w:rsid w:val="00F450AC"/>
    <w:rPr>
      <w:b/>
      <w:bCs/>
    </w:rPr>
  </w:style>
  <w:style w:type="character" w:customStyle="1" w:styleId="CommentSubjectChar">
    <w:name w:val="Comment Subject Char"/>
    <w:basedOn w:val="CommentTextChar"/>
    <w:link w:val="CommentSubject"/>
    <w:uiPriority w:val="99"/>
    <w:semiHidden/>
    <w:rsid w:val="00F450AC"/>
    <w:rPr>
      <w:b/>
      <w:bCs/>
      <w:sz w:val="20"/>
      <w:szCs w:val="20"/>
    </w:rPr>
  </w:style>
  <w:style w:type="paragraph" w:styleId="BalloonText">
    <w:name w:val="Balloon Text"/>
    <w:basedOn w:val="Normal"/>
    <w:link w:val="BalloonTextChar"/>
    <w:uiPriority w:val="99"/>
    <w:semiHidden/>
    <w:unhideWhenUsed/>
    <w:rsid w:val="00F45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0AC"/>
    <w:rPr>
      <w:rFonts w:ascii="Segoe UI" w:hAnsi="Segoe UI" w:cs="Segoe UI"/>
      <w:sz w:val="18"/>
      <w:szCs w:val="18"/>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4248B7"/>
    <w:pPr>
      <w:ind w:left="720"/>
      <w:contextualSpacing/>
    </w:pPr>
  </w:style>
  <w:style w:type="character" w:customStyle="1" w:styleId="highlight">
    <w:name w:val="highlight"/>
    <w:basedOn w:val="DefaultParagraphFont"/>
    <w:rsid w:val="0041647C"/>
  </w:style>
  <w:style w:type="paragraph" w:styleId="BodyText2">
    <w:name w:val="Body Text 2"/>
    <w:basedOn w:val="BodyText"/>
    <w:link w:val="BodyText2Char"/>
    <w:qFormat/>
    <w:rsid w:val="00B4143B"/>
    <w:pPr>
      <w:spacing w:after="280" w:line="360" w:lineRule="atLeast"/>
    </w:pPr>
    <w:rPr>
      <w:rFonts w:ascii="Arial" w:hAnsi="Arial"/>
      <w:color w:val="231F20"/>
      <w:sz w:val="24"/>
      <w:szCs w:val="24"/>
    </w:rPr>
  </w:style>
  <w:style w:type="character" w:customStyle="1" w:styleId="BodyText2Char">
    <w:name w:val="Body Text 2 Char"/>
    <w:basedOn w:val="DefaultParagraphFont"/>
    <w:link w:val="BodyText2"/>
    <w:rsid w:val="00B4143B"/>
    <w:rPr>
      <w:rFonts w:ascii="Arial" w:hAnsi="Arial"/>
      <w:color w:val="231F20"/>
      <w:sz w:val="24"/>
      <w:szCs w:val="24"/>
    </w:rPr>
  </w:style>
  <w:style w:type="paragraph" w:styleId="BodyText">
    <w:name w:val="Body Text"/>
    <w:basedOn w:val="Normal"/>
    <w:link w:val="BodyTextChar"/>
    <w:uiPriority w:val="99"/>
    <w:semiHidden/>
    <w:unhideWhenUsed/>
    <w:rsid w:val="00B4143B"/>
    <w:pPr>
      <w:spacing w:after="120"/>
    </w:pPr>
  </w:style>
  <w:style w:type="character" w:customStyle="1" w:styleId="BodyTextChar">
    <w:name w:val="Body Text Char"/>
    <w:basedOn w:val="DefaultParagraphFont"/>
    <w:link w:val="BodyText"/>
    <w:uiPriority w:val="99"/>
    <w:semiHidden/>
    <w:rsid w:val="00B4143B"/>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0A2A75"/>
  </w:style>
  <w:style w:type="character" w:customStyle="1" w:styleId="BulletedlistChar">
    <w:name w:val="Bulleted list Char"/>
    <w:basedOn w:val="DefaultParagraphFont"/>
    <w:link w:val="Bulletedlist"/>
    <w:locked/>
    <w:rsid w:val="000A2A75"/>
    <w:rPr>
      <w:rFonts w:ascii="Arial" w:hAnsi="Arial" w:cs="Arial"/>
      <w:bCs/>
      <w:sz w:val="24"/>
      <w:szCs w:val="32"/>
      <w:lang w:bidi="en-US"/>
    </w:rPr>
  </w:style>
  <w:style w:type="paragraph" w:customStyle="1" w:styleId="Bulletedlist">
    <w:name w:val="Bulleted list"/>
    <w:basedOn w:val="Normal"/>
    <w:link w:val="BulletedlistChar"/>
    <w:qFormat/>
    <w:rsid w:val="000A2A75"/>
    <w:pPr>
      <w:numPr>
        <w:numId w:val="4"/>
      </w:numPr>
      <w:spacing w:after="240" w:line="240" w:lineRule="auto"/>
      <w:ind w:left="1080"/>
    </w:pPr>
    <w:rPr>
      <w:rFonts w:ascii="Arial" w:hAnsi="Arial" w:cs="Arial"/>
      <w:bCs/>
      <w:sz w:val="24"/>
      <w:szCs w:val="32"/>
      <w:lang w:bidi="en-US"/>
    </w:rPr>
  </w:style>
  <w:style w:type="table" w:styleId="TableGrid">
    <w:name w:val="Table Grid"/>
    <w:basedOn w:val="TableNormal"/>
    <w:uiPriority w:val="59"/>
    <w:rsid w:val="000A2A7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1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9B4"/>
  </w:style>
  <w:style w:type="paragraph" w:styleId="Footer">
    <w:name w:val="footer"/>
    <w:basedOn w:val="Normal"/>
    <w:link w:val="FooterChar"/>
    <w:uiPriority w:val="99"/>
    <w:unhideWhenUsed/>
    <w:rsid w:val="00C61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9B4"/>
  </w:style>
  <w:style w:type="character" w:styleId="Hyperlink">
    <w:name w:val="Hyperlink"/>
    <w:basedOn w:val="DefaultParagraphFont"/>
    <w:uiPriority w:val="99"/>
    <w:unhideWhenUsed/>
    <w:rsid w:val="003B1046"/>
    <w:rPr>
      <w:color w:val="0563C1" w:themeColor="hyperlink"/>
      <w:u w:val="single"/>
    </w:rPr>
  </w:style>
  <w:style w:type="character" w:styleId="UnresolvedMention">
    <w:name w:val="Unresolved Mention"/>
    <w:basedOn w:val="DefaultParagraphFont"/>
    <w:uiPriority w:val="99"/>
    <w:semiHidden/>
    <w:unhideWhenUsed/>
    <w:rsid w:val="003B1046"/>
    <w:rPr>
      <w:color w:val="605E5C"/>
      <w:shd w:val="clear" w:color="auto" w:fill="E1DFDD"/>
    </w:rPr>
  </w:style>
  <w:style w:type="character" w:customStyle="1" w:styleId="Heading2Char">
    <w:name w:val="Heading 2 Char"/>
    <w:basedOn w:val="DefaultParagraphFont"/>
    <w:link w:val="Heading2"/>
    <w:uiPriority w:val="9"/>
    <w:rsid w:val="007660D2"/>
    <w:rPr>
      <w:rFonts w:ascii="Arial" w:eastAsia="SimSun" w:hAnsi="Arial" w:cs="Times New Roman"/>
      <w:b/>
      <w:color w:val="E7E6E6" w:themeColor="background2"/>
      <w:sz w:val="24"/>
      <w:szCs w:val="24"/>
      <w:lang w:val="en-US"/>
    </w:rPr>
  </w:style>
  <w:style w:type="paragraph" w:styleId="Revision">
    <w:name w:val="Revision"/>
    <w:hidden/>
    <w:uiPriority w:val="99"/>
    <w:semiHidden/>
    <w:rsid w:val="00CD48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5043">
      <w:bodyDiv w:val="1"/>
      <w:marLeft w:val="0"/>
      <w:marRight w:val="0"/>
      <w:marTop w:val="0"/>
      <w:marBottom w:val="0"/>
      <w:divBdr>
        <w:top w:val="none" w:sz="0" w:space="0" w:color="auto"/>
        <w:left w:val="none" w:sz="0" w:space="0" w:color="auto"/>
        <w:bottom w:val="none" w:sz="0" w:space="0" w:color="auto"/>
        <w:right w:val="none" w:sz="0" w:space="0" w:color="auto"/>
      </w:divBdr>
      <w:divsChild>
        <w:div w:id="839661973">
          <w:marLeft w:val="0"/>
          <w:marRight w:val="0"/>
          <w:marTop w:val="15"/>
          <w:marBottom w:val="0"/>
          <w:divBdr>
            <w:top w:val="single" w:sz="48" w:space="0" w:color="auto"/>
            <w:left w:val="single" w:sz="48" w:space="0" w:color="auto"/>
            <w:bottom w:val="single" w:sz="48" w:space="0" w:color="auto"/>
            <w:right w:val="single" w:sz="48" w:space="0" w:color="auto"/>
          </w:divBdr>
          <w:divsChild>
            <w:div w:id="1153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08123">
      <w:bodyDiv w:val="1"/>
      <w:marLeft w:val="0"/>
      <w:marRight w:val="0"/>
      <w:marTop w:val="0"/>
      <w:marBottom w:val="0"/>
      <w:divBdr>
        <w:top w:val="none" w:sz="0" w:space="0" w:color="auto"/>
        <w:left w:val="none" w:sz="0" w:space="0" w:color="auto"/>
        <w:bottom w:val="none" w:sz="0" w:space="0" w:color="auto"/>
        <w:right w:val="none" w:sz="0" w:space="0" w:color="auto"/>
      </w:divBdr>
    </w:div>
    <w:div w:id="574357513">
      <w:bodyDiv w:val="1"/>
      <w:marLeft w:val="0"/>
      <w:marRight w:val="0"/>
      <w:marTop w:val="0"/>
      <w:marBottom w:val="0"/>
      <w:divBdr>
        <w:top w:val="none" w:sz="0" w:space="0" w:color="auto"/>
        <w:left w:val="none" w:sz="0" w:space="0" w:color="auto"/>
        <w:bottom w:val="none" w:sz="0" w:space="0" w:color="auto"/>
        <w:right w:val="none" w:sz="0" w:space="0" w:color="auto"/>
      </w:divBdr>
    </w:div>
    <w:div w:id="977955017">
      <w:bodyDiv w:val="1"/>
      <w:marLeft w:val="0"/>
      <w:marRight w:val="0"/>
      <w:marTop w:val="0"/>
      <w:marBottom w:val="0"/>
      <w:divBdr>
        <w:top w:val="none" w:sz="0" w:space="0" w:color="auto"/>
        <w:left w:val="none" w:sz="0" w:space="0" w:color="auto"/>
        <w:bottom w:val="none" w:sz="0" w:space="0" w:color="auto"/>
        <w:right w:val="none" w:sz="0" w:space="0" w:color="auto"/>
      </w:divBdr>
    </w:div>
    <w:div w:id="1189413413">
      <w:bodyDiv w:val="1"/>
      <w:marLeft w:val="0"/>
      <w:marRight w:val="0"/>
      <w:marTop w:val="0"/>
      <w:marBottom w:val="0"/>
      <w:divBdr>
        <w:top w:val="none" w:sz="0" w:space="0" w:color="auto"/>
        <w:left w:val="none" w:sz="0" w:space="0" w:color="auto"/>
        <w:bottom w:val="none" w:sz="0" w:space="0" w:color="auto"/>
        <w:right w:val="none" w:sz="0" w:space="0" w:color="auto"/>
      </w:divBdr>
    </w:div>
    <w:div w:id="1284506089">
      <w:bodyDiv w:val="1"/>
      <w:marLeft w:val="0"/>
      <w:marRight w:val="0"/>
      <w:marTop w:val="0"/>
      <w:marBottom w:val="0"/>
      <w:divBdr>
        <w:top w:val="none" w:sz="0" w:space="0" w:color="auto"/>
        <w:left w:val="none" w:sz="0" w:space="0" w:color="auto"/>
        <w:bottom w:val="none" w:sz="0" w:space="0" w:color="auto"/>
        <w:right w:val="none" w:sz="0" w:space="0" w:color="auto"/>
      </w:divBdr>
      <w:divsChild>
        <w:div w:id="456267434">
          <w:marLeft w:val="0"/>
          <w:marRight w:val="0"/>
          <w:marTop w:val="15"/>
          <w:marBottom w:val="0"/>
          <w:divBdr>
            <w:top w:val="single" w:sz="48" w:space="0" w:color="auto"/>
            <w:left w:val="single" w:sz="48" w:space="0" w:color="auto"/>
            <w:bottom w:val="single" w:sz="48" w:space="0" w:color="auto"/>
            <w:right w:val="single" w:sz="48" w:space="0" w:color="auto"/>
          </w:divBdr>
          <w:divsChild>
            <w:div w:id="13977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90259">
      <w:bodyDiv w:val="1"/>
      <w:marLeft w:val="0"/>
      <w:marRight w:val="0"/>
      <w:marTop w:val="0"/>
      <w:marBottom w:val="0"/>
      <w:divBdr>
        <w:top w:val="none" w:sz="0" w:space="0" w:color="auto"/>
        <w:left w:val="none" w:sz="0" w:space="0" w:color="auto"/>
        <w:bottom w:val="none" w:sz="0" w:space="0" w:color="auto"/>
        <w:right w:val="none" w:sz="0" w:space="0" w:color="auto"/>
      </w:divBdr>
    </w:div>
    <w:div w:id="173180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B1D0B31017264D9401603E33B92A46" ma:contentTypeVersion="13" ma:contentTypeDescription="Create a new document." ma:contentTypeScope="" ma:versionID="edd7f2ba9eaa23c6037296364fa7b7fb">
  <xsd:schema xmlns:xsd="http://www.w3.org/2001/XMLSchema" xmlns:xs="http://www.w3.org/2001/XMLSchema" xmlns:p="http://schemas.microsoft.com/office/2006/metadata/properties" xmlns:ns2="afa44030-1f17-4b01-8033-3a3ac327255a" xmlns:ns3="009479ae-484e-4297-823c-dd3ab14a0e9e" targetNamespace="http://schemas.microsoft.com/office/2006/metadata/properties" ma:root="true" ma:fieldsID="40df1e69a645b504ed26529b4db4826b" ns2:_="" ns3:_="">
    <xsd:import namespace="afa44030-1f17-4b01-8033-3a3ac327255a"/>
    <xsd:import namespace="009479ae-484e-4297-823c-dd3ab14a0e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44030-1f17-4b01-8033-3a3ac3272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9479ae-484e-4297-823c-dd3ab14a0e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22C6EC-9D48-41B3-B845-DF7C337D81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A65DBF-9B13-474B-8EE9-15C28958C30B}">
  <ds:schemaRefs>
    <ds:schemaRef ds:uri="http://schemas.openxmlformats.org/officeDocument/2006/bibliography"/>
  </ds:schemaRefs>
</ds:datastoreItem>
</file>

<file path=customXml/itemProps3.xml><?xml version="1.0" encoding="utf-8"?>
<ds:datastoreItem xmlns:ds="http://schemas.openxmlformats.org/officeDocument/2006/customXml" ds:itemID="{A5180AA0-F7EF-41D8-B166-C760902B96AF}">
  <ds:schemaRefs>
    <ds:schemaRef ds:uri="http://schemas.microsoft.com/sharepoint/v3/contenttype/forms"/>
  </ds:schemaRefs>
</ds:datastoreItem>
</file>

<file path=customXml/itemProps4.xml><?xml version="1.0" encoding="utf-8"?>
<ds:datastoreItem xmlns:ds="http://schemas.openxmlformats.org/officeDocument/2006/customXml" ds:itemID="{CCC07737-3157-4713-B4F1-6D440143C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44030-1f17-4b01-8033-3a3ac327255a"/>
    <ds:schemaRef ds:uri="009479ae-484e-4297-823c-dd3ab14a0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3638</Words>
  <Characters>20743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Lupton</dc:creator>
  <cp:keywords/>
  <dc:description/>
  <cp:lastModifiedBy>WALKER, Irene (NHS NORTH EAST AND NORTH CUMBRIA ICB - 99C)</cp:lastModifiedBy>
  <cp:revision>5</cp:revision>
  <cp:lastPrinted>2023-02-13T11:51:00Z</cp:lastPrinted>
  <dcterms:created xsi:type="dcterms:W3CDTF">2023-03-20T16:24:00Z</dcterms:created>
  <dcterms:modified xsi:type="dcterms:W3CDTF">2023-03-31T10:29:00Z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0x010100D9B1D0B31017264D9401603E33B92A46</vt:lpwstr>
  </property>
</Properties>
</file>