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r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10B66C14" w14:textId="1669E9F4" w:rsidR="001873E5" w:rsidRPr="008C4AF3" w:rsidRDefault="005C2AA3" w:rsidP="005C2AA3">
          <w:pPr>
            <w:tabs>
              <w:tab w:val="left" w:pos="6629"/>
            </w:tabs>
            <w:spacing w:after="0" w:line="240" w:lineRule="auto"/>
            <w:ind w:right="-330"/>
            <w:jc w:val="right"/>
            <w:rPr>
              <w:rFonts w:ascii="Arial" w:eastAsia="Times New Roman" w:hAnsi="Arial" w:cs="Times New Roman"/>
              <w:color w:val="000000" w:themeColor="text1"/>
              <w:sz w:val="24"/>
              <w:szCs w:val="24"/>
              <w:lang w:eastAsia="en-GB"/>
            </w:rPr>
          </w:pPr>
          <w:r w:rsidRPr="008C4AF3">
            <w:rPr>
              <w:noProof/>
              <w:color w:val="000000" w:themeColor="text1"/>
            </w:rPr>
            <w:drawing>
              <wp:inline distT="0" distB="0" distL="0" distR="0" wp14:anchorId="08507BC7" wp14:editId="04DF8E9A">
                <wp:extent cx="1676809" cy="1009507"/>
                <wp:effectExtent l="0" t="0" r="0" b="635"/>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98222" cy="1022398"/>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8C4AF3" w:rsidRPr="008C4AF3" w14:paraId="47A3CA3D" w14:textId="77777777" w:rsidTr="00A80E7B">
        <w:trPr>
          <w:trHeight w:val="703"/>
          <w:jc w:val="center"/>
        </w:trPr>
        <w:tc>
          <w:tcPr>
            <w:tcW w:w="3040" w:type="dxa"/>
            <w:shd w:val="clear" w:color="auto" w:fill="DBE5F1"/>
          </w:tcPr>
          <w:p w14:paraId="302F829E" w14:textId="77777777" w:rsidR="00A80E7B" w:rsidRPr="008C4AF3" w:rsidRDefault="00A80E7B" w:rsidP="00036885">
            <w:pPr>
              <w:spacing w:after="0" w:line="240" w:lineRule="auto"/>
              <w:rPr>
                <w:rFonts w:ascii="Arial" w:eastAsia="Times New Roman" w:hAnsi="Arial" w:cs="Arial"/>
                <w:b/>
                <w:color w:val="000000" w:themeColor="text1"/>
                <w:sz w:val="32"/>
                <w:szCs w:val="32"/>
              </w:rPr>
            </w:pPr>
            <w:bookmarkStart w:id="0" w:name="_Hlk98841048"/>
            <w:bookmarkStart w:id="1" w:name="_Hlk90396454"/>
            <w:r w:rsidRPr="008C4AF3">
              <w:rPr>
                <w:rFonts w:ascii="Arial" w:eastAsia="Times New Roman" w:hAnsi="Arial" w:cs="Arial"/>
                <w:b/>
                <w:bCs/>
                <w:color w:val="000000" w:themeColor="text1"/>
                <w:sz w:val="32"/>
                <w:szCs w:val="32"/>
              </w:rPr>
              <w:t>Human Resources</w:t>
            </w:r>
          </w:p>
        </w:tc>
        <w:tc>
          <w:tcPr>
            <w:tcW w:w="6430" w:type="dxa"/>
            <w:shd w:val="clear" w:color="auto" w:fill="DBE5F1"/>
          </w:tcPr>
          <w:p w14:paraId="29B2B3AD" w14:textId="724AF9B2" w:rsidR="00A80E7B" w:rsidRPr="008C4AF3" w:rsidRDefault="00A80E7B" w:rsidP="00036885">
            <w:pPr>
              <w:tabs>
                <w:tab w:val="left" w:pos="1734"/>
              </w:tabs>
              <w:spacing w:after="0" w:line="240" w:lineRule="auto"/>
              <w:rPr>
                <w:rFonts w:ascii="Arial" w:eastAsia="Times New Roman" w:hAnsi="Arial" w:cs="Arial"/>
                <w:b/>
                <w:color w:val="000000" w:themeColor="text1"/>
                <w:sz w:val="32"/>
                <w:szCs w:val="32"/>
              </w:rPr>
            </w:pPr>
            <w:r w:rsidRPr="008C4AF3">
              <w:rPr>
                <w:rFonts w:ascii="Arial" w:eastAsia="Calibri" w:hAnsi="Arial" w:cs="Arial"/>
                <w:b/>
                <w:color w:val="000000" w:themeColor="text1"/>
                <w:sz w:val="32"/>
                <w:szCs w:val="32"/>
              </w:rPr>
              <w:t>HR</w:t>
            </w:r>
            <w:r w:rsidR="00036885" w:rsidRPr="008C4AF3">
              <w:rPr>
                <w:rFonts w:ascii="Arial" w:eastAsia="Calibri" w:hAnsi="Arial" w:cs="Arial"/>
                <w:b/>
                <w:color w:val="000000" w:themeColor="text1"/>
                <w:sz w:val="32"/>
                <w:szCs w:val="32"/>
              </w:rPr>
              <w:t>46 Relocation Expenses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8C4AF3" w:rsidRPr="008C4AF3" w14:paraId="19F4F518" w14:textId="77777777" w:rsidTr="00644F6A">
        <w:trPr>
          <w:gridAfter w:val="3"/>
          <w:wAfter w:w="6650" w:type="dxa"/>
          <w:trHeight w:val="133"/>
          <w:jc w:val="center"/>
        </w:trPr>
        <w:tc>
          <w:tcPr>
            <w:tcW w:w="2810" w:type="dxa"/>
          </w:tcPr>
          <w:p w14:paraId="7192708E" w14:textId="77777777" w:rsidR="00A80E7B" w:rsidRPr="008C4AF3" w:rsidRDefault="00A80E7B" w:rsidP="00036885">
            <w:pPr>
              <w:jc w:val="center"/>
              <w:rPr>
                <w:b/>
                <w:color w:val="000000" w:themeColor="text1"/>
                <w:sz w:val="36"/>
                <w:szCs w:val="36"/>
              </w:rPr>
            </w:pPr>
          </w:p>
        </w:tc>
      </w:tr>
      <w:tr w:rsidR="008C4AF3" w:rsidRPr="008C4AF3"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8C4AF3" w:rsidRDefault="00A80E7B" w:rsidP="00036885">
            <w:pPr>
              <w:rPr>
                <w:rFonts w:eastAsia="Times New Roman" w:cs="Tahoma"/>
                <w:b/>
                <w:color w:val="000000" w:themeColor="text1"/>
              </w:rPr>
            </w:pPr>
            <w:r w:rsidRPr="008C4AF3">
              <w:rPr>
                <w:rFonts w:eastAsia="Times New Roman" w:cs="Tahoma"/>
                <w:b/>
                <w:color w:val="000000" w:themeColor="text1"/>
              </w:rPr>
              <w:t>Version Number</w:t>
            </w:r>
          </w:p>
        </w:tc>
        <w:tc>
          <w:tcPr>
            <w:tcW w:w="3090" w:type="dxa"/>
          </w:tcPr>
          <w:p w14:paraId="61ED3848" w14:textId="77777777" w:rsidR="00A80E7B" w:rsidRPr="008C4AF3" w:rsidRDefault="00A80E7B" w:rsidP="00036885">
            <w:pPr>
              <w:rPr>
                <w:rFonts w:eastAsia="Times New Roman" w:cs="Tahoma"/>
                <w:color w:val="000000" w:themeColor="text1"/>
              </w:rPr>
            </w:pPr>
            <w:r w:rsidRPr="008C4AF3">
              <w:rPr>
                <w:rFonts w:eastAsia="Times New Roman" w:cs="Tahoma"/>
                <w:b/>
                <w:color w:val="000000" w:themeColor="text1"/>
              </w:rPr>
              <w:t xml:space="preserve">Date Issued </w:t>
            </w:r>
          </w:p>
        </w:tc>
        <w:tc>
          <w:tcPr>
            <w:tcW w:w="3280" w:type="dxa"/>
          </w:tcPr>
          <w:p w14:paraId="64950522" w14:textId="77777777" w:rsidR="00A80E7B" w:rsidRPr="008C4AF3" w:rsidRDefault="00A80E7B" w:rsidP="00036885">
            <w:pPr>
              <w:rPr>
                <w:rFonts w:eastAsia="Times New Roman" w:cs="Tahoma"/>
                <w:color w:val="000000" w:themeColor="text1"/>
              </w:rPr>
            </w:pPr>
            <w:r w:rsidRPr="008C4AF3">
              <w:rPr>
                <w:rFonts w:eastAsia="Times New Roman" w:cs="Tahoma"/>
                <w:b/>
                <w:color w:val="000000" w:themeColor="text1"/>
              </w:rPr>
              <w:t>Review Date</w:t>
            </w:r>
          </w:p>
        </w:tc>
      </w:tr>
      <w:tr w:rsidR="00A80E7B" w:rsidRPr="008C4AF3"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8C4AF3" w:rsidRDefault="00A80E7B" w:rsidP="00036885">
            <w:pPr>
              <w:rPr>
                <w:rFonts w:eastAsia="Times New Roman" w:cs="Tahoma"/>
                <w:b/>
                <w:color w:val="000000" w:themeColor="text1"/>
              </w:rPr>
            </w:pPr>
            <w:r w:rsidRPr="008C4AF3">
              <w:rPr>
                <w:rFonts w:eastAsia="Times New Roman" w:cs="Tahoma"/>
                <w:b/>
                <w:color w:val="000000" w:themeColor="text1"/>
              </w:rPr>
              <w:t>1.0</w:t>
            </w:r>
          </w:p>
        </w:tc>
        <w:tc>
          <w:tcPr>
            <w:tcW w:w="3090" w:type="dxa"/>
          </w:tcPr>
          <w:p w14:paraId="6B809851" w14:textId="7B30B96A" w:rsidR="00A80E7B" w:rsidRPr="008C4AF3" w:rsidRDefault="00CB2E0B" w:rsidP="00036885">
            <w:pPr>
              <w:rPr>
                <w:rFonts w:eastAsia="Times New Roman" w:cs="Tahoma"/>
                <w:color w:val="000000" w:themeColor="text1"/>
              </w:rPr>
            </w:pPr>
            <w:r w:rsidRPr="008C4AF3">
              <w:rPr>
                <w:rFonts w:eastAsia="Times New Roman" w:cs="Tahoma"/>
                <w:color w:val="000000" w:themeColor="text1"/>
              </w:rPr>
              <w:t>J</w:t>
            </w:r>
            <w:r w:rsidR="00036885" w:rsidRPr="008C4AF3">
              <w:rPr>
                <w:rFonts w:eastAsia="Times New Roman" w:cs="Tahoma"/>
                <w:color w:val="000000" w:themeColor="text1"/>
              </w:rPr>
              <w:t>uly</w:t>
            </w:r>
            <w:r w:rsidRPr="008C4AF3">
              <w:rPr>
                <w:rFonts w:eastAsia="Times New Roman" w:cs="Tahoma"/>
                <w:color w:val="000000" w:themeColor="text1"/>
              </w:rPr>
              <w:t xml:space="preserve"> 2022</w:t>
            </w:r>
          </w:p>
        </w:tc>
        <w:tc>
          <w:tcPr>
            <w:tcW w:w="3280" w:type="dxa"/>
          </w:tcPr>
          <w:p w14:paraId="3F6045E6" w14:textId="0E9E7927" w:rsidR="00A80E7B" w:rsidRPr="008C4AF3" w:rsidRDefault="00CB2E0B" w:rsidP="00036885">
            <w:pPr>
              <w:rPr>
                <w:rFonts w:eastAsia="Times New Roman" w:cs="Tahoma"/>
                <w:color w:val="000000" w:themeColor="text1"/>
              </w:rPr>
            </w:pPr>
            <w:r w:rsidRPr="008C4AF3">
              <w:rPr>
                <w:rFonts w:eastAsia="Times New Roman" w:cs="Tahoma"/>
                <w:color w:val="000000" w:themeColor="text1"/>
              </w:rPr>
              <w:t>J</w:t>
            </w:r>
            <w:r w:rsidR="00036885" w:rsidRPr="008C4AF3">
              <w:rPr>
                <w:rFonts w:eastAsia="Times New Roman" w:cs="Tahoma"/>
                <w:color w:val="000000" w:themeColor="text1"/>
              </w:rPr>
              <w:t>uly</w:t>
            </w:r>
            <w:r w:rsidRPr="008C4AF3">
              <w:rPr>
                <w:rFonts w:eastAsia="Times New Roman" w:cs="Tahoma"/>
                <w:color w:val="000000" w:themeColor="text1"/>
              </w:rPr>
              <w:t xml:space="preserve"> 2025</w:t>
            </w:r>
          </w:p>
        </w:tc>
      </w:tr>
    </w:tbl>
    <w:p w14:paraId="528046DD" w14:textId="77777777" w:rsidR="00A80E7B" w:rsidRPr="008C4AF3" w:rsidRDefault="00A80E7B" w:rsidP="00036885">
      <w:pPr>
        <w:spacing w:after="0" w:line="240" w:lineRule="auto"/>
        <w:rPr>
          <w:rFonts w:ascii="Arial" w:eastAsia="Calibri" w:hAnsi="Arial" w:cs="Arial"/>
          <w:color w:val="000000" w:themeColor="text1"/>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8C4AF3" w:rsidRPr="008C4AF3" w14:paraId="7812118E" w14:textId="77777777" w:rsidTr="00644F6A">
        <w:trPr>
          <w:trHeight w:val="397"/>
          <w:jc w:val="center"/>
        </w:trPr>
        <w:tc>
          <w:tcPr>
            <w:tcW w:w="4076" w:type="dxa"/>
          </w:tcPr>
          <w:p w14:paraId="1E2B5CD6" w14:textId="77777777" w:rsidR="00A80E7B" w:rsidRPr="008C4AF3" w:rsidRDefault="00A80E7B" w:rsidP="00036885">
            <w:pPr>
              <w:spacing w:after="0" w:line="240" w:lineRule="auto"/>
              <w:rPr>
                <w:rFonts w:ascii="Arial" w:eastAsia="Times New Roman" w:hAnsi="Arial" w:cs="Tahoma"/>
                <w:b/>
                <w:color w:val="000000" w:themeColor="text1"/>
                <w:sz w:val="24"/>
                <w:szCs w:val="24"/>
              </w:rPr>
            </w:pPr>
            <w:r w:rsidRPr="008C4AF3">
              <w:rPr>
                <w:rFonts w:ascii="Arial" w:eastAsia="Times New Roman" w:hAnsi="Arial" w:cs="Tahoma"/>
                <w:b/>
                <w:color w:val="000000" w:themeColor="text1"/>
                <w:sz w:val="24"/>
                <w:szCs w:val="24"/>
              </w:rPr>
              <w:t>Prepared By:</w:t>
            </w:r>
          </w:p>
        </w:tc>
        <w:tc>
          <w:tcPr>
            <w:tcW w:w="5496" w:type="dxa"/>
          </w:tcPr>
          <w:p w14:paraId="00953B56" w14:textId="01E582B6" w:rsidR="00A80E7B" w:rsidRPr="008C4AF3" w:rsidRDefault="00036885" w:rsidP="00036885">
            <w:pPr>
              <w:spacing w:after="0" w:line="240" w:lineRule="auto"/>
              <w:rPr>
                <w:rFonts w:ascii="Arial" w:eastAsia="Times New Roman" w:hAnsi="Arial" w:cs="Tahoma"/>
                <w:color w:val="000000" w:themeColor="text1"/>
                <w:sz w:val="24"/>
                <w:szCs w:val="24"/>
              </w:rPr>
            </w:pPr>
            <w:r w:rsidRPr="008C4AF3">
              <w:rPr>
                <w:rFonts w:ascii="Arial" w:eastAsia="Times New Roman" w:hAnsi="Arial" w:cs="Tahoma"/>
                <w:color w:val="000000" w:themeColor="text1"/>
                <w:sz w:val="24"/>
                <w:szCs w:val="24"/>
              </w:rPr>
              <w:t>Beth Coombes</w:t>
            </w:r>
          </w:p>
        </w:tc>
      </w:tr>
      <w:tr w:rsidR="008C4AF3" w:rsidRPr="008C4AF3" w14:paraId="247B4451" w14:textId="77777777" w:rsidTr="00644F6A">
        <w:trPr>
          <w:trHeight w:val="397"/>
          <w:jc w:val="center"/>
        </w:trPr>
        <w:tc>
          <w:tcPr>
            <w:tcW w:w="4076" w:type="dxa"/>
          </w:tcPr>
          <w:p w14:paraId="68386115" w14:textId="77777777" w:rsidR="00036885" w:rsidRPr="008C4AF3" w:rsidRDefault="00036885" w:rsidP="00036885">
            <w:pPr>
              <w:spacing w:after="0" w:line="240" w:lineRule="auto"/>
              <w:rPr>
                <w:rFonts w:ascii="Arial" w:eastAsia="Times New Roman" w:hAnsi="Arial" w:cs="Tahoma"/>
                <w:b/>
                <w:color w:val="000000" w:themeColor="text1"/>
                <w:sz w:val="24"/>
                <w:szCs w:val="24"/>
              </w:rPr>
            </w:pPr>
            <w:r w:rsidRPr="008C4AF3">
              <w:rPr>
                <w:rFonts w:ascii="Arial" w:eastAsia="Times New Roman" w:hAnsi="Arial" w:cs="Tahoma"/>
                <w:b/>
                <w:color w:val="000000" w:themeColor="text1"/>
                <w:sz w:val="24"/>
                <w:szCs w:val="24"/>
              </w:rPr>
              <w:t>Consultation Process:</w:t>
            </w:r>
          </w:p>
        </w:tc>
        <w:tc>
          <w:tcPr>
            <w:tcW w:w="5496" w:type="dxa"/>
          </w:tcPr>
          <w:p w14:paraId="55F1489B" w14:textId="4F870FD0" w:rsidR="00036885" w:rsidRPr="008C4AF3" w:rsidRDefault="00036885" w:rsidP="00036885">
            <w:pPr>
              <w:spacing w:after="0" w:line="240" w:lineRule="auto"/>
              <w:rPr>
                <w:rFonts w:ascii="Arial" w:eastAsia="Calibri" w:hAnsi="Arial" w:cs="Arial"/>
                <w:color w:val="000000" w:themeColor="text1"/>
                <w:sz w:val="24"/>
                <w:szCs w:val="24"/>
                <w:lang w:val="en-US"/>
              </w:rPr>
            </w:pPr>
            <w:r w:rsidRPr="008C4AF3">
              <w:rPr>
                <w:rFonts w:ascii="Arial" w:hAnsi="Arial" w:cs="Arial"/>
                <w:color w:val="000000" w:themeColor="text1"/>
                <w:sz w:val="24"/>
                <w:szCs w:val="24"/>
                <w:lang w:val="en-US"/>
              </w:rPr>
              <w:t>North of England Commissioning Support (NECS) in partnership with CCG management and Trade Union organisations via the HR Policy Working Group and the CCG Partnership Forum.</w:t>
            </w:r>
          </w:p>
        </w:tc>
      </w:tr>
      <w:tr w:rsidR="008C4AF3" w:rsidRPr="008C4AF3" w14:paraId="16633E72" w14:textId="77777777" w:rsidTr="00644F6A">
        <w:trPr>
          <w:trHeight w:val="397"/>
          <w:jc w:val="center"/>
        </w:trPr>
        <w:tc>
          <w:tcPr>
            <w:tcW w:w="4076" w:type="dxa"/>
          </w:tcPr>
          <w:p w14:paraId="27F8A162" w14:textId="77777777" w:rsidR="00036885" w:rsidRPr="008C4AF3" w:rsidRDefault="00036885" w:rsidP="00036885">
            <w:pPr>
              <w:spacing w:after="0" w:line="240" w:lineRule="auto"/>
              <w:rPr>
                <w:rFonts w:ascii="Arial" w:eastAsia="Times New Roman" w:hAnsi="Arial" w:cs="Tahoma"/>
                <w:b/>
                <w:color w:val="000000" w:themeColor="text1"/>
                <w:sz w:val="24"/>
                <w:szCs w:val="24"/>
              </w:rPr>
            </w:pPr>
            <w:r w:rsidRPr="008C4AF3">
              <w:rPr>
                <w:rFonts w:ascii="Arial" w:eastAsia="Times New Roman" w:hAnsi="Arial" w:cs="Tahoma"/>
                <w:b/>
                <w:color w:val="000000" w:themeColor="text1"/>
                <w:sz w:val="24"/>
                <w:szCs w:val="24"/>
              </w:rPr>
              <w:t>Formally Approved:</w:t>
            </w:r>
          </w:p>
        </w:tc>
        <w:tc>
          <w:tcPr>
            <w:tcW w:w="5496" w:type="dxa"/>
          </w:tcPr>
          <w:p w14:paraId="0853EACC" w14:textId="0B767422" w:rsidR="00036885" w:rsidRPr="008C4AF3" w:rsidRDefault="00036885" w:rsidP="00036885">
            <w:pPr>
              <w:spacing w:after="0" w:line="240" w:lineRule="auto"/>
              <w:rPr>
                <w:rFonts w:ascii="Arial" w:eastAsia="Calibri" w:hAnsi="Arial" w:cs="Arial"/>
                <w:color w:val="000000" w:themeColor="text1"/>
                <w:sz w:val="24"/>
                <w:szCs w:val="24"/>
                <w:lang w:val="en-US"/>
              </w:rPr>
            </w:pPr>
            <w:r w:rsidRPr="008C4AF3">
              <w:rPr>
                <w:rFonts w:ascii="Arial" w:hAnsi="Arial" w:cs="Arial"/>
                <w:color w:val="000000" w:themeColor="text1"/>
                <w:sz w:val="24"/>
                <w:szCs w:val="24"/>
                <w:lang w:val="en-US"/>
              </w:rPr>
              <w:t>July 2022</w:t>
            </w:r>
          </w:p>
        </w:tc>
      </w:tr>
      <w:tr w:rsidR="00036885" w:rsidRPr="008C4AF3" w14:paraId="4C4E98DE" w14:textId="77777777" w:rsidTr="00644F6A">
        <w:trPr>
          <w:trHeight w:val="397"/>
          <w:jc w:val="center"/>
        </w:trPr>
        <w:tc>
          <w:tcPr>
            <w:tcW w:w="4076" w:type="dxa"/>
          </w:tcPr>
          <w:p w14:paraId="785F66F0" w14:textId="77777777" w:rsidR="00036885" w:rsidRPr="008C4AF3" w:rsidRDefault="00036885" w:rsidP="00036885">
            <w:pPr>
              <w:spacing w:after="0" w:line="240" w:lineRule="auto"/>
              <w:rPr>
                <w:rFonts w:ascii="Arial" w:eastAsia="Times New Roman" w:hAnsi="Arial" w:cs="Tahoma"/>
                <w:b/>
                <w:color w:val="000000" w:themeColor="text1"/>
                <w:sz w:val="24"/>
                <w:szCs w:val="24"/>
              </w:rPr>
            </w:pPr>
            <w:r w:rsidRPr="008C4AF3">
              <w:rPr>
                <w:rFonts w:ascii="Arial" w:eastAsia="Times New Roman" w:hAnsi="Arial" w:cs="Tahoma"/>
                <w:b/>
                <w:color w:val="000000" w:themeColor="text1"/>
                <w:sz w:val="24"/>
                <w:szCs w:val="24"/>
              </w:rPr>
              <w:t>Approved By:</w:t>
            </w:r>
          </w:p>
        </w:tc>
        <w:tc>
          <w:tcPr>
            <w:tcW w:w="5496" w:type="dxa"/>
          </w:tcPr>
          <w:p w14:paraId="7EFD08FC" w14:textId="5A520076" w:rsidR="00036885" w:rsidRPr="008C4AF3" w:rsidRDefault="00036885" w:rsidP="00036885">
            <w:pPr>
              <w:spacing w:after="0" w:line="240" w:lineRule="auto"/>
              <w:rPr>
                <w:rFonts w:ascii="Arial" w:eastAsia="Times New Roman" w:hAnsi="Arial" w:cs="Arial"/>
                <w:color w:val="000000" w:themeColor="text1"/>
                <w:sz w:val="24"/>
                <w:szCs w:val="24"/>
              </w:rPr>
            </w:pPr>
            <w:r w:rsidRPr="008C4AF3">
              <w:rPr>
                <w:rFonts w:ascii="Arial" w:hAnsi="Arial" w:cs="Arial"/>
                <w:color w:val="000000" w:themeColor="text1"/>
                <w:sz w:val="24"/>
                <w:szCs w:val="24"/>
              </w:rPr>
              <w:t>ICB Board</w:t>
            </w:r>
          </w:p>
        </w:tc>
      </w:tr>
    </w:tbl>
    <w:p w14:paraId="7E4B5715" w14:textId="77777777" w:rsidR="00A80E7B" w:rsidRPr="008C4AF3" w:rsidRDefault="00A80E7B" w:rsidP="00036885">
      <w:pPr>
        <w:keepLines/>
        <w:spacing w:after="0" w:line="240" w:lineRule="auto"/>
        <w:rPr>
          <w:rFonts w:ascii="Arial" w:eastAsia="Times New Roman" w:hAnsi="Arial" w:cs="Tahoma"/>
          <w:b/>
          <w:color w:val="000000" w:themeColor="text1"/>
          <w:sz w:val="24"/>
          <w:szCs w:val="24"/>
        </w:rPr>
      </w:pPr>
    </w:p>
    <w:p w14:paraId="2B58CA0D" w14:textId="77777777" w:rsidR="00A80E7B" w:rsidRPr="008C4AF3" w:rsidRDefault="00A80E7B" w:rsidP="00036885">
      <w:pPr>
        <w:spacing w:after="0" w:line="240" w:lineRule="auto"/>
        <w:ind w:left="142"/>
        <w:rPr>
          <w:rFonts w:ascii="Arial" w:eastAsia="Times New Roman" w:hAnsi="Arial" w:cs="Tahoma"/>
          <w:b/>
          <w:color w:val="000000" w:themeColor="text1"/>
          <w:sz w:val="28"/>
          <w:szCs w:val="28"/>
        </w:rPr>
      </w:pPr>
      <w:r w:rsidRPr="008C4AF3">
        <w:rPr>
          <w:rFonts w:ascii="Arial" w:eastAsia="Times New Roman" w:hAnsi="Arial" w:cs="Tahoma"/>
          <w:b/>
          <w:color w:val="000000" w:themeColor="text1"/>
          <w:sz w:val="28"/>
          <w:szCs w:val="28"/>
        </w:rPr>
        <w:t>EQUALITY IMPACT ASSESSMENT</w:t>
      </w:r>
    </w:p>
    <w:p w14:paraId="084C0D4C" w14:textId="77777777" w:rsidR="00A80E7B" w:rsidRPr="008C4AF3" w:rsidRDefault="00A80E7B" w:rsidP="00036885">
      <w:pPr>
        <w:spacing w:after="0" w:line="240" w:lineRule="auto"/>
        <w:ind w:left="142"/>
        <w:rPr>
          <w:rFonts w:ascii="Arial" w:eastAsia="Times New Roman" w:hAnsi="Arial" w:cs="Tahoma"/>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869"/>
      </w:tblGrid>
      <w:tr w:rsidR="008C4AF3" w:rsidRPr="008C4AF3" w14:paraId="6C5F8A62" w14:textId="77777777" w:rsidTr="00644F6A">
        <w:trPr>
          <w:trHeight w:val="314"/>
          <w:jc w:val="center"/>
        </w:trPr>
        <w:tc>
          <w:tcPr>
            <w:tcW w:w="2235" w:type="dxa"/>
          </w:tcPr>
          <w:p w14:paraId="68A6D567" w14:textId="77777777" w:rsidR="00A80E7B" w:rsidRPr="008C4AF3" w:rsidRDefault="00A80E7B" w:rsidP="00036885">
            <w:pPr>
              <w:spacing w:after="0" w:line="240" w:lineRule="auto"/>
              <w:rPr>
                <w:rFonts w:ascii="Arial" w:eastAsia="Times New Roman" w:hAnsi="Arial" w:cs="Tahoma"/>
                <w:b/>
                <w:color w:val="000000" w:themeColor="text1"/>
                <w:sz w:val="24"/>
                <w:szCs w:val="24"/>
              </w:rPr>
            </w:pPr>
            <w:r w:rsidRPr="008C4AF3">
              <w:rPr>
                <w:rFonts w:ascii="Arial" w:eastAsia="Times New Roman" w:hAnsi="Arial" w:cs="Tahoma"/>
                <w:b/>
                <w:color w:val="000000" w:themeColor="text1"/>
                <w:sz w:val="24"/>
                <w:szCs w:val="24"/>
              </w:rPr>
              <w:t>Date</w:t>
            </w:r>
          </w:p>
        </w:tc>
        <w:tc>
          <w:tcPr>
            <w:tcW w:w="7211" w:type="dxa"/>
          </w:tcPr>
          <w:p w14:paraId="6355C47B" w14:textId="77777777" w:rsidR="00A80E7B" w:rsidRPr="008C4AF3" w:rsidRDefault="00A80E7B" w:rsidP="00036885">
            <w:pPr>
              <w:spacing w:after="0" w:line="240" w:lineRule="auto"/>
              <w:rPr>
                <w:rFonts w:ascii="Arial" w:eastAsia="Times New Roman" w:hAnsi="Arial" w:cs="Tahoma"/>
                <w:b/>
                <w:color w:val="000000" w:themeColor="text1"/>
                <w:sz w:val="24"/>
                <w:szCs w:val="24"/>
              </w:rPr>
            </w:pPr>
            <w:r w:rsidRPr="008C4AF3">
              <w:rPr>
                <w:rFonts w:ascii="Arial" w:eastAsia="Times New Roman" w:hAnsi="Arial" w:cs="Tahoma"/>
                <w:b/>
                <w:color w:val="000000" w:themeColor="text1"/>
                <w:sz w:val="24"/>
                <w:szCs w:val="24"/>
              </w:rPr>
              <w:t>Issues</w:t>
            </w:r>
          </w:p>
        </w:tc>
      </w:tr>
      <w:tr w:rsidR="00A80E7B" w:rsidRPr="008C4AF3" w14:paraId="59EE2F99" w14:textId="77777777" w:rsidTr="00644F6A">
        <w:trPr>
          <w:trHeight w:val="397"/>
          <w:jc w:val="center"/>
        </w:trPr>
        <w:tc>
          <w:tcPr>
            <w:tcW w:w="2235" w:type="dxa"/>
          </w:tcPr>
          <w:p w14:paraId="284CBA6E" w14:textId="3DA8AE14" w:rsidR="00A80E7B" w:rsidRPr="008C4AF3" w:rsidRDefault="00A80E7B" w:rsidP="00036885">
            <w:pPr>
              <w:spacing w:after="0" w:line="240" w:lineRule="auto"/>
              <w:rPr>
                <w:rFonts w:ascii="Arial" w:eastAsia="Times New Roman" w:hAnsi="Arial" w:cs="Tahoma"/>
                <w:color w:val="000000" w:themeColor="text1"/>
                <w:sz w:val="24"/>
                <w:szCs w:val="24"/>
              </w:rPr>
            </w:pPr>
          </w:p>
        </w:tc>
        <w:tc>
          <w:tcPr>
            <w:tcW w:w="7211" w:type="dxa"/>
          </w:tcPr>
          <w:p w14:paraId="2298C5EF" w14:textId="1C6BFBDC" w:rsidR="00A80E7B" w:rsidRPr="008C4AF3" w:rsidRDefault="00036885" w:rsidP="00036885">
            <w:pPr>
              <w:spacing w:after="0" w:line="240" w:lineRule="auto"/>
              <w:rPr>
                <w:rFonts w:ascii="Arial" w:eastAsia="Times New Roman" w:hAnsi="Arial" w:cs="Arial"/>
                <w:color w:val="000000" w:themeColor="text1"/>
                <w:sz w:val="24"/>
                <w:szCs w:val="24"/>
              </w:rPr>
            </w:pPr>
            <w:r w:rsidRPr="008C4AF3">
              <w:rPr>
                <w:rFonts w:ascii="Arial" w:hAnsi="Arial" w:cs="Arial"/>
                <w:color w:val="000000" w:themeColor="text1"/>
                <w:sz w:val="24"/>
                <w:szCs w:val="24"/>
              </w:rPr>
              <w:t>To be completed, as outlined in the agreed 2022/23 HR EIA review schedule.</w:t>
            </w:r>
          </w:p>
        </w:tc>
      </w:tr>
    </w:tbl>
    <w:p w14:paraId="21A4EF41" w14:textId="77777777" w:rsidR="00A80E7B" w:rsidRPr="008C4AF3" w:rsidRDefault="00A80E7B" w:rsidP="00036885">
      <w:pPr>
        <w:keepLines/>
        <w:tabs>
          <w:tab w:val="center" w:pos="4320"/>
          <w:tab w:val="right" w:pos="8640"/>
        </w:tabs>
        <w:spacing w:after="0" w:line="240" w:lineRule="auto"/>
        <w:rPr>
          <w:rFonts w:ascii="Arial" w:eastAsia="Times New Roman" w:hAnsi="Arial" w:cs="Arial"/>
          <w:b/>
          <w:bCs/>
          <w:color w:val="000000" w:themeColor="text1"/>
          <w:sz w:val="24"/>
          <w:szCs w:val="24"/>
        </w:rPr>
      </w:pPr>
    </w:p>
    <w:p w14:paraId="4F7B4EF4" w14:textId="77777777" w:rsidR="00A80E7B" w:rsidRPr="008C4AF3" w:rsidRDefault="00A80E7B" w:rsidP="00036885">
      <w:pPr>
        <w:keepLines/>
        <w:tabs>
          <w:tab w:val="center" w:pos="4320"/>
          <w:tab w:val="right" w:pos="8640"/>
        </w:tabs>
        <w:spacing w:after="0" w:line="240" w:lineRule="auto"/>
        <w:ind w:left="142"/>
        <w:rPr>
          <w:rFonts w:ascii="Arial" w:eastAsia="Times New Roman" w:hAnsi="Arial" w:cs="Arial"/>
          <w:color w:val="000000" w:themeColor="text1"/>
          <w:sz w:val="28"/>
          <w:szCs w:val="28"/>
        </w:rPr>
      </w:pPr>
      <w:r w:rsidRPr="008C4AF3">
        <w:rPr>
          <w:rFonts w:ascii="Arial" w:eastAsia="Times New Roman" w:hAnsi="Arial" w:cs="Arial"/>
          <w:b/>
          <w:bCs/>
          <w:color w:val="000000" w:themeColor="text1"/>
          <w:sz w:val="28"/>
          <w:szCs w:val="28"/>
        </w:rPr>
        <w:t>POLICY VALIDITY STATEMENT</w:t>
      </w:r>
    </w:p>
    <w:p w14:paraId="4890C546" w14:textId="77777777" w:rsidR="00A80E7B" w:rsidRPr="008C4AF3" w:rsidRDefault="00A80E7B" w:rsidP="00036885">
      <w:pPr>
        <w:spacing w:after="0" w:line="240" w:lineRule="auto"/>
        <w:ind w:left="142"/>
        <w:jc w:val="both"/>
        <w:rPr>
          <w:rFonts w:ascii="Arial" w:eastAsia="Calibri" w:hAnsi="Arial" w:cs="Arial"/>
          <w:color w:val="000000" w:themeColor="text1"/>
          <w:sz w:val="24"/>
          <w:szCs w:val="24"/>
        </w:rPr>
      </w:pPr>
      <w:r w:rsidRPr="008C4AF3">
        <w:rPr>
          <w:rFonts w:ascii="Arial" w:eastAsia="Times New Roman" w:hAnsi="Arial" w:cs="Arial"/>
          <w:bCs/>
          <w:color w:val="000000" w:themeColor="text1"/>
          <w:sz w:val="24"/>
          <w:szCs w:val="24"/>
        </w:rPr>
        <w:t xml:space="preserve">Policy users should ensure that they are consulting the currently valid version of the documentation. </w:t>
      </w:r>
      <w:r w:rsidRPr="008C4AF3">
        <w:rPr>
          <w:rFonts w:ascii="Arial" w:eastAsia="Calibri" w:hAnsi="Arial" w:cs="Arial"/>
          <w:color w:val="000000" w:themeColor="text1"/>
          <w:sz w:val="24"/>
          <w:szCs w:val="24"/>
        </w:rPr>
        <w:t>The policy will remain valid, including during its period of review.  However, the policy must be reviewed at least once in every 3-year period.</w:t>
      </w:r>
    </w:p>
    <w:p w14:paraId="74ECF813" w14:textId="77777777" w:rsidR="00A80E7B" w:rsidRPr="008C4AF3" w:rsidRDefault="00A80E7B" w:rsidP="00036885">
      <w:pPr>
        <w:keepLines/>
        <w:spacing w:after="0" w:line="240" w:lineRule="auto"/>
        <w:ind w:left="142"/>
        <w:rPr>
          <w:rFonts w:ascii="Arial" w:eastAsia="Times New Roman" w:hAnsi="Arial" w:cs="Arial"/>
          <w:bCs/>
          <w:color w:val="000000" w:themeColor="text1"/>
          <w:sz w:val="24"/>
          <w:szCs w:val="24"/>
        </w:rPr>
      </w:pPr>
    </w:p>
    <w:p w14:paraId="41F5F573" w14:textId="77777777" w:rsidR="00A80E7B" w:rsidRPr="008C4AF3" w:rsidRDefault="00A80E7B" w:rsidP="00036885">
      <w:pPr>
        <w:autoSpaceDN w:val="0"/>
        <w:spacing w:after="0" w:line="240" w:lineRule="auto"/>
        <w:ind w:left="142"/>
        <w:rPr>
          <w:rFonts w:ascii="Arial" w:eastAsia="Calibri" w:hAnsi="Arial" w:cs="Arial"/>
          <w:b/>
          <w:bCs/>
          <w:color w:val="000000" w:themeColor="text1"/>
          <w:sz w:val="28"/>
          <w:szCs w:val="28"/>
        </w:rPr>
      </w:pPr>
      <w:r w:rsidRPr="008C4AF3">
        <w:rPr>
          <w:rFonts w:ascii="Arial" w:eastAsia="Calibri" w:hAnsi="Arial" w:cs="Arial"/>
          <w:b/>
          <w:bCs/>
          <w:color w:val="000000" w:themeColor="text1"/>
          <w:sz w:val="28"/>
          <w:szCs w:val="28"/>
        </w:rPr>
        <w:t>ACCESSIBLE INFORMATION STANDARDS</w:t>
      </w:r>
    </w:p>
    <w:p w14:paraId="13D6230F" w14:textId="1FF44B44" w:rsidR="00A80E7B" w:rsidRPr="008C4AF3" w:rsidRDefault="00A80E7B" w:rsidP="00036885">
      <w:pPr>
        <w:autoSpaceDN w:val="0"/>
        <w:spacing w:after="0" w:line="240" w:lineRule="auto"/>
        <w:ind w:left="142"/>
        <w:rPr>
          <w:rFonts w:ascii="Arial" w:eastAsia="Calibri" w:hAnsi="Arial" w:cs="Arial"/>
          <w:bCs/>
          <w:color w:val="000000" w:themeColor="text1"/>
          <w:sz w:val="24"/>
          <w:szCs w:val="24"/>
        </w:rPr>
      </w:pPr>
      <w:r w:rsidRPr="008C4AF3">
        <w:rPr>
          <w:rFonts w:ascii="Arial" w:eastAsia="Calibri" w:hAnsi="Arial" w:cs="Arial"/>
          <w:bCs/>
          <w:color w:val="000000" w:themeColor="text1"/>
          <w:sz w:val="24"/>
          <w:szCs w:val="24"/>
        </w:rPr>
        <w:t xml:space="preserve">If you require this document in an alternative format, such as easy read, large text, braille or an alternative language please contact </w:t>
      </w:r>
      <w:hyperlink r:id="rId13" w:history="1">
        <w:r w:rsidR="00507177" w:rsidRPr="008C4AF3">
          <w:rPr>
            <w:rStyle w:val="Hyperlink"/>
            <w:rFonts w:ascii="Arial" w:hAnsi="Arial" w:cs="Arial"/>
            <w:color w:val="000000" w:themeColor="text1"/>
            <w:sz w:val="24"/>
            <w:szCs w:val="24"/>
          </w:rPr>
          <w:t>necsu.icbhr@nhs.net</w:t>
        </w:r>
      </w:hyperlink>
    </w:p>
    <w:p w14:paraId="190BA79B" w14:textId="77777777" w:rsidR="00A80E7B" w:rsidRPr="008C4AF3" w:rsidRDefault="00A80E7B" w:rsidP="00036885">
      <w:pPr>
        <w:spacing w:after="0" w:line="240" w:lineRule="auto"/>
        <w:jc w:val="both"/>
        <w:rPr>
          <w:rFonts w:ascii="Arial" w:eastAsia="Times New Roman" w:hAnsi="Arial" w:cs="Arial"/>
          <w:b/>
          <w:bCs/>
          <w:color w:val="000000" w:themeColor="text1"/>
          <w:sz w:val="28"/>
          <w:szCs w:val="24"/>
        </w:rPr>
      </w:pPr>
    </w:p>
    <w:p w14:paraId="6F299EC7" w14:textId="77777777" w:rsidR="00A80E7B" w:rsidRPr="008C4AF3" w:rsidRDefault="00A80E7B" w:rsidP="00036885">
      <w:pPr>
        <w:spacing w:after="0" w:line="240" w:lineRule="auto"/>
        <w:rPr>
          <w:rFonts w:ascii="Arial" w:eastAsia="Calibri" w:hAnsi="Arial" w:cs="Arial"/>
          <w:b/>
          <w:color w:val="000000" w:themeColor="text1"/>
          <w:sz w:val="32"/>
          <w:szCs w:val="32"/>
        </w:rPr>
      </w:pPr>
      <w:r w:rsidRPr="008C4AF3">
        <w:rPr>
          <w:rFonts w:ascii="Arial" w:eastAsia="Calibri" w:hAnsi="Arial" w:cs="Arial"/>
          <w:b/>
          <w:color w:val="000000" w:themeColor="text1"/>
          <w:sz w:val="32"/>
          <w:szCs w:val="32"/>
        </w:rPr>
        <w:br w:type="page"/>
      </w:r>
      <w:r w:rsidRPr="008C4AF3">
        <w:rPr>
          <w:rFonts w:ascii="Arial" w:eastAsia="Calibri" w:hAnsi="Arial" w:cs="Arial"/>
          <w:b/>
          <w:color w:val="000000" w:themeColor="text1"/>
          <w:sz w:val="32"/>
          <w:szCs w:val="32"/>
        </w:rPr>
        <w:lastRenderedPageBreak/>
        <w:t>Version Control</w:t>
      </w:r>
    </w:p>
    <w:p w14:paraId="2ABD1E59" w14:textId="77777777" w:rsidR="00A80E7B" w:rsidRPr="008C4AF3" w:rsidRDefault="00A80E7B" w:rsidP="00036885">
      <w:pPr>
        <w:spacing w:after="0" w:line="240" w:lineRule="auto"/>
        <w:rPr>
          <w:rFonts w:ascii="Calibri" w:eastAsia="Calibri" w:hAnsi="Calibri" w:cs="Times New Roman"/>
          <w:color w:val="000000" w:themeColor="text1"/>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2"/>
        <w:gridCol w:w="2048"/>
        <w:gridCol w:w="1994"/>
        <w:gridCol w:w="3752"/>
      </w:tblGrid>
      <w:tr w:rsidR="008C4AF3" w:rsidRPr="008C4AF3" w14:paraId="6330FEF8" w14:textId="77777777" w:rsidTr="00036885">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8C4AF3" w:rsidRDefault="00A80E7B" w:rsidP="00036885">
            <w:pPr>
              <w:spacing w:after="0" w:line="240" w:lineRule="auto"/>
              <w:rPr>
                <w:rFonts w:ascii="Arial" w:eastAsia="Calibri" w:hAnsi="Arial" w:cs="Arial"/>
                <w:b/>
                <w:color w:val="000000" w:themeColor="text1"/>
                <w:szCs w:val="20"/>
              </w:rPr>
            </w:pPr>
            <w:r w:rsidRPr="008C4AF3">
              <w:rPr>
                <w:rFonts w:ascii="Arial" w:eastAsia="Calibri" w:hAnsi="Arial" w:cs="Arial"/>
                <w:b/>
                <w:color w:val="000000" w:themeColor="text1"/>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8C4AF3" w:rsidRDefault="00A80E7B" w:rsidP="00036885">
            <w:pPr>
              <w:spacing w:after="0" w:line="240" w:lineRule="auto"/>
              <w:rPr>
                <w:rFonts w:ascii="Arial" w:eastAsia="Calibri" w:hAnsi="Arial" w:cs="Arial"/>
                <w:b/>
                <w:color w:val="000000" w:themeColor="text1"/>
                <w:szCs w:val="20"/>
              </w:rPr>
            </w:pPr>
            <w:r w:rsidRPr="008C4AF3">
              <w:rPr>
                <w:rFonts w:ascii="Arial" w:eastAsia="Calibri" w:hAnsi="Arial" w:cs="Arial"/>
                <w:b/>
                <w:color w:val="000000" w:themeColor="text1"/>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8C4AF3" w:rsidRDefault="00A80E7B" w:rsidP="00036885">
            <w:pPr>
              <w:spacing w:after="0" w:line="240" w:lineRule="auto"/>
              <w:rPr>
                <w:rFonts w:ascii="Arial" w:eastAsia="Calibri" w:hAnsi="Arial" w:cs="Arial"/>
                <w:b/>
                <w:color w:val="000000" w:themeColor="text1"/>
                <w:szCs w:val="20"/>
              </w:rPr>
            </w:pPr>
            <w:r w:rsidRPr="008C4AF3">
              <w:rPr>
                <w:rFonts w:ascii="Arial" w:eastAsia="Calibri" w:hAnsi="Arial" w:cs="Arial"/>
                <w:b/>
                <w:color w:val="000000" w:themeColor="text1"/>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8C4AF3" w:rsidRDefault="00A80E7B" w:rsidP="00036885">
            <w:pPr>
              <w:spacing w:after="0" w:line="240" w:lineRule="auto"/>
              <w:rPr>
                <w:rFonts w:ascii="Arial" w:eastAsia="Calibri" w:hAnsi="Arial" w:cs="Arial"/>
                <w:b/>
                <w:color w:val="000000" w:themeColor="text1"/>
                <w:szCs w:val="20"/>
              </w:rPr>
            </w:pPr>
            <w:r w:rsidRPr="008C4AF3">
              <w:rPr>
                <w:rFonts w:ascii="Arial" w:eastAsia="Calibri" w:hAnsi="Arial" w:cs="Arial"/>
                <w:b/>
                <w:color w:val="000000" w:themeColor="text1"/>
                <w:sz w:val="24"/>
                <w:szCs w:val="20"/>
              </w:rPr>
              <w:t>Update comments</w:t>
            </w:r>
          </w:p>
        </w:tc>
      </w:tr>
      <w:tr w:rsidR="00036885" w:rsidRPr="008C4AF3" w14:paraId="2BFF45BC" w14:textId="77777777" w:rsidTr="00036885">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05952CA5" w:rsidR="00036885" w:rsidRPr="008C4AF3" w:rsidRDefault="00036885" w:rsidP="00036885">
            <w:pPr>
              <w:spacing w:after="0" w:line="240" w:lineRule="auto"/>
              <w:rPr>
                <w:rFonts w:ascii="Arial" w:eastAsia="Calibri" w:hAnsi="Arial" w:cs="Arial"/>
                <w:color w:val="000000" w:themeColor="text1"/>
                <w:sz w:val="24"/>
                <w:szCs w:val="24"/>
              </w:rPr>
            </w:pPr>
            <w:r w:rsidRPr="008C4AF3">
              <w:rPr>
                <w:rFonts w:ascii="Arial" w:hAnsi="Arial" w:cs="Arial"/>
                <w:color w:val="000000" w:themeColor="text1"/>
                <w:sz w:val="24"/>
                <w:szCs w:val="24"/>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5C1A8F94" w:rsidR="00036885" w:rsidRPr="008C4AF3" w:rsidRDefault="00036885" w:rsidP="00036885">
            <w:pPr>
              <w:spacing w:after="0" w:line="240" w:lineRule="auto"/>
              <w:rPr>
                <w:rFonts w:ascii="Arial" w:eastAsia="Calibri" w:hAnsi="Arial" w:cs="Arial"/>
                <w:color w:val="000000" w:themeColor="text1"/>
                <w:sz w:val="24"/>
                <w:szCs w:val="24"/>
              </w:rPr>
            </w:pPr>
            <w:r w:rsidRPr="008C4AF3">
              <w:rPr>
                <w:rFonts w:ascii="Arial" w:hAnsi="Arial" w:cs="Arial"/>
                <w:color w:val="000000" w:themeColor="text1"/>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491B098C" w:rsidR="00036885" w:rsidRPr="008C4AF3" w:rsidRDefault="00036885" w:rsidP="00036885">
            <w:pPr>
              <w:spacing w:after="0" w:line="240" w:lineRule="auto"/>
              <w:rPr>
                <w:rFonts w:ascii="Arial" w:eastAsia="Calibri" w:hAnsi="Arial" w:cs="Arial"/>
                <w:color w:val="000000" w:themeColor="text1"/>
                <w:sz w:val="24"/>
                <w:szCs w:val="24"/>
              </w:rPr>
            </w:pPr>
            <w:r w:rsidRPr="008C4AF3">
              <w:rPr>
                <w:rFonts w:ascii="Arial" w:hAnsi="Arial" w:cs="Arial"/>
                <w:color w:val="000000" w:themeColor="text1"/>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2D4A1A4D" w:rsidR="00036885" w:rsidRPr="008C4AF3" w:rsidRDefault="00036885" w:rsidP="00036885">
            <w:pPr>
              <w:spacing w:after="0" w:line="240" w:lineRule="auto"/>
              <w:rPr>
                <w:rFonts w:ascii="Arial" w:eastAsia="Calibri" w:hAnsi="Arial" w:cs="Arial"/>
                <w:color w:val="000000" w:themeColor="text1"/>
                <w:sz w:val="24"/>
                <w:szCs w:val="24"/>
              </w:rPr>
            </w:pPr>
            <w:r w:rsidRPr="008C4AF3">
              <w:rPr>
                <w:rFonts w:ascii="Arial" w:hAnsi="Arial" w:cs="Arial"/>
                <w:color w:val="000000" w:themeColor="text1"/>
                <w:sz w:val="24"/>
                <w:szCs w:val="24"/>
              </w:rPr>
              <w:t>First Issue</w:t>
            </w:r>
          </w:p>
        </w:tc>
      </w:tr>
    </w:tbl>
    <w:p w14:paraId="7B2310FD" w14:textId="77777777" w:rsidR="00A80E7B" w:rsidRPr="008C4AF3" w:rsidRDefault="00A80E7B" w:rsidP="00036885">
      <w:pPr>
        <w:spacing w:after="0" w:line="240" w:lineRule="auto"/>
        <w:rPr>
          <w:rFonts w:ascii="Calibri" w:eastAsia="Calibri" w:hAnsi="Calibri" w:cs="Times New Roman"/>
          <w:color w:val="000000" w:themeColor="text1"/>
        </w:rPr>
      </w:pPr>
    </w:p>
    <w:p w14:paraId="0B4FB5FF" w14:textId="77777777" w:rsidR="00A80E7B" w:rsidRPr="008C4AF3" w:rsidRDefault="00A80E7B" w:rsidP="00036885">
      <w:pPr>
        <w:spacing w:after="0" w:line="240" w:lineRule="auto"/>
        <w:rPr>
          <w:rFonts w:ascii="Calibri" w:eastAsia="Calibri" w:hAnsi="Calibri" w:cs="Times New Roman"/>
          <w:color w:val="000000" w:themeColor="text1"/>
        </w:rPr>
      </w:pPr>
    </w:p>
    <w:p w14:paraId="0C05A353" w14:textId="77777777" w:rsidR="00A80E7B" w:rsidRPr="008C4AF3" w:rsidRDefault="00A80E7B" w:rsidP="00036885">
      <w:pPr>
        <w:spacing w:after="0" w:line="240" w:lineRule="auto"/>
        <w:rPr>
          <w:rFonts w:ascii="Arial" w:eastAsia="Calibri" w:hAnsi="Arial" w:cs="Arial"/>
          <w:b/>
          <w:color w:val="000000" w:themeColor="text1"/>
          <w:sz w:val="32"/>
          <w:szCs w:val="32"/>
        </w:rPr>
      </w:pPr>
      <w:r w:rsidRPr="008C4AF3">
        <w:rPr>
          <w:rFonts w:ascii="Arial" w:eastAsia="Calibri" w:hAnsi="Arial" w:cs="Arial"/>
          <w:b/>
          <w:color w:val="000000" w:themeColor="text1"/>
          <w:sz w:val="32"/>
          <w:szCs w:val="32"/>
        </w:rPr>
        <w:t>Approval</w:t>
      </w:r>
    </w:p>
    <w:p w14:paraId="4F5756A8" w14:textId="77777777" w:rsidR="00A80E7B" w:rsidRPr="008C4AF3" w:rsidRDefault="00A80E7B" w:rsidP="00036885">
      <w:pPr>
        <w:spacing w:after="0" w:line="240" w:lineRule="auto"/>
        <w:rPr>
          <w:rFonts w:ascii="Calibri" w:eastAsia="Calibri" w:hAnsi="Calibri" w:cs="Times New Roman"/>
          <w:color w:val="000000" w:themeColor="text1"/>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58"/>
        <w:gridCol w:w="3336"/>
        <w:gridCol w:w="2822"/>
      </w:tblGrid>
      <w:tr w:rsidR="008C4AF3" w:rsidRPr="008C4AF3"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8C4AF3" w:rsidRDefault="00A80E7B" w:rsidP="00036885">
            <w:pPr>
              <w:spacing w:after="0" w:line="240" w:lineRule="auto"/>
              <w:rPr>
                <w:rFonts w:ascii="Arial" w:eastAsia="Calibri" w:hAnsi="Arial" w:cs="Arial"/>
                <w:b/>
                <w:color w:val="000000" w:themeColor="text1"/>
                <w:szCs w:val="20"/>
              </w:rPr>
            </w:pPr>
            <w:r w:rsidRPr="008C4AF3">
              <w:rPr>
                <w:rFonts w:ascii="Arial" w:eastAsia="Calibri" w:hAnsi="Arial" w:cs="Arial"/>
                <w:b/>
                <w:color w:val="000000" w:themeColor="text1"/>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8C4AF3" w:rsidRDefault="00A80E7B" w:rsidP="00036885">
            <w:pPr>
              <w:spacing w:after="0" w:line="240" w:lineRule="auto"/>
              <w:rPr>
                <w:rFonts w:ascii="Arial" w:eastAsia="Calibri" w:hAnsi="Arial" w:cs="Arial"/>
                <w:b/>
                <w:color w:val="000000" w:themeColor="text1"/>
                <w:szCs w:val="20"/>
              </w:rPr>
            </w:pPr>
            <w:r w:rsidRPr="008C4AF3">
              <w:rPr>
                <w:rFonts w:ascii="Arial" w:eastAsia="Calibri" w:hAnsi="Arial" w:cs="Arial"/>
                <w:b/>
                <w:color w:val="000000" w:themeColor="text1"/>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8C4AF3" w:rsidRDefault="00A80E7B" w:rsidP="00036885">
            <w:pPr>
              <w:spacing w:after="0" w:line="240" w:lineRule="auto"/>
              <w:rPr>
                <w:rFonts w:ascii="Arial" w:eastAsia="Calibri" w:hAnsi="Arial" w:cs="Arial"/>
                <w:b/>
                <w:color w:val="000000" w:themeColor="text1"/>
                <w:szCs w:val="20"/>
              </w:rPr>
            </w:pPr>
            <w:r w:rsidRPr="008C4AF3">
              <w:rPr>
                <w:rFonts w:ascii="Arial" w:eastAsia="Calibri" w:hAnsi="Arial" w:cs="Arial"/>
                <w:b/>
                <w:color w:val="000000" w:themeColor="text1"/>
                <w:sz w:val="24"/>
                <w:szCs w:val="20"/>
              </w:rPr>
              <w:t>Date</w:t>
            </w:r>
          </w:p>
        </w:tc>
      </w:tr>
      <w:tr w:rsidR="00036885" w:rsidRPr="008C4AF3"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30F4ECCB" w:rsidR="00036885" w:rsidRPr="008C4AF3" w:rsidRDefault="00036885" w:rsidP="00036885">
            <w:pPr>
              <w:spacing w:after="0" w:line="240" w:lineRule="auto"/>
              <w:rPr>
                <w:rFonts w:ascii="Arial" w:eastAsia="Calibri" w:hAnsi="Arial" w:cs="Arial"/>
                <w:color w:val="000000" w:themeColor="text1"/>
                <w:sz w:val="24"/>
              </w:rPr>
            </w:pPr>
            <w:r w:rsidRPr="008C4AF3">
              <w:rPr>
                <w:rFonts w:ascii="Arial" w:hAnsi="Arial" w:cs="Arial"/>
                <w:color w:val="000000" w:themeColor="text1"/>
                <w:sz w:val="24"/>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3F2CF692" w:rsidR="00036885" w:rsidRPr="008C4AF3" w:rsidRDefault="00036885" w:rsidP="00036885">
            <w:pPr>
              <w:spacing w:after="0" w:line="240" w:lineRule="auto"/>
              <w:rPr>
                <w:rFonts w:ascii="Arial" w:eastAsia="Times New Roman" w:hAnsi="Arial" w:cs="Arial"/>
                <w:color w:val="000000" w:themeColor="text1"/>
                <w:sz w:val="24"/>
              </w:rPr>
            </w:pPr>
            <w:r w:rsidRPr="008C4AF3">
              <w:rPr>
                <w:rFonts w:ascii="Arial" w:hAnsi="Arial" w:cs="Arial"/>
                <w:color w:val="000000" w:themeColor="text1"/>
                <w:sz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3AFC1C2D" w:rsidR="00036885" w:rsidRPr="008C4AF3" w:rsidRDefault="00036885" w:rsidP="00036885">
            <w:pPr>
              <w:spacing w:after="0" w:line="240" w:lineRule="auto"/>
              <w:rPr>
                <w:rFonts w:ascii="Arial" w:eastAsia="Calibri" w:hAnsi="Arial" w:cs="Arial"/>
                <w:color w:val="000000" w:themeColor="text1"/>
                <w:sz w:val="24"/>
              </w:rPr>
            </w:pPr>
            <w:r w:rsidRPr="008C4AF3">
              <w:rPr>
                <w:rFonts w:ascii="Arial" w:hAnsi="Arial" w:cs="Arial"/>
                <w:color w:val="000000" w:themeColor="text1"/>
                <w:sz w:val="24"/>
              </w:rPr>
              <w:t>July 2022</w:t>
            </w:r>
          </w:p>
        </w:tc>
      </w:tr>
      <w:bookmarkEnd w:id="0"/>
    </w:tbl>
    <w:p w14:paraId="0BD8DDAB" w14:textId="0AB6A9D5" w:rsidR="006A085B" w:rsidRPr="008C4AF3" w:rsidRDefault="006A085B" w:rsidP="00036885">
      <w:pPr>
        <w:pStyle w:val="NoSpacing"/>
        <w:ind w:left="360"/>
        <w:rPr>
          <w:rFonts w:ascii="Arial" w:hAnsi="Arial" w:cs="Arial"/>
          <w:b/>
          <w:bCs/>
          <w:color w:val="000000" w:themeColor="text1"/>
        </w:rPr>
      </w:pPr>
    </w:p>
    <w:p w14:paraId="1A20FC81" w14:textId="77777777" w:rsidR="006A085B" w:rsidRPr="008C4AF3" w:rsidRDefault="006A085B" w:rsidP="00036885">
      <w:pPr>
        <w:spacing w:after="0" w:line="240" w:lineRule="auto"/>
        <w:rPr>
          <w:color w:val="000000" w:themeColor="text1"/>
        </w:rPr>
      </w:pPr>
    </w:p>
    <w:p w14:paraId="66B191E6" w14:textId="395D1224" w:rsidR="006A085B" w:rsidRPr="008C4AF3" w:rsidRDefault="006A085B" w:rsidP="00036885">
      <w:pPr>
        <w:spacing w:after="0" w:line="240" w:lineRule="auto"/>
        <w:rPr>
          <w:rFonts w:ascii="Arial" w:hAnsi="Arial" w:cs="Arial"/>
          <w:b/>
          <w:bCs/>
          <w:color w:val="000000" w:themeColor="text1"/>
        </w:rPr>
      </w:pPr>
      <w:r w:rsidRPr="008C4AF3">
        <w:rPr>
          <w:rFonts w:ascii="Arial" w:hAnsi="Arial" w:cs="Arial"/>
          <w:b/>
          <w:bCs/>
          <w:color w:val="000000" w:themeColor="text1"/>
        </w:rPr>
        <w:br w:type="page"/>
      </w:r>
    </w:p>
    <w:sdt>
      <w:sdtPr>
        <w:rPr>
          <w:rFonts w:asciiTheme="minorHAnsi" w:eastAsiaTheme="minorEastAsia" w:hAnsiTheme="minorHAnsi" w:cstheme="minorBidi"/>
          <w:color w:val="000000" w:themeColor="text1"/>
          <w:sz w:val="22"/>
          <w:szCs w:val="22"/>
        </w:rPr>
        <w:id w:val="-337852811"/>
        <w:docPartObj>
          <w:docPartGallery w:val="Table of Contents"/>
          <w:docPartUnique/>
        </w:docPartObj>
      </w:sdtPr>
      <w:sdtEndPr>
        <w:rPr>
          <w:b/>
          <w:bCs/>
          <w:noProof/>
        </w:rPr>
      </w:sdtEndPr>
      <w:sdtContent>
        <w:p w14:paraId="6B2B1695" w14:textId="1F6DB0BD" w:rsidR="00036885" w:rsidRPr="008C4AF3" w:rsidRDefault="00036885" w:rsidP="00036885">
          <w:pPr>
            <w:pStyle w:val="TOCHeading"/>
            <w:spacing w:before="0" w:after="0"/>
            <w:jc w:val="center"/>
            <w:rPr>
              <w:rFonts w:ascii="Arial" w:hAnsi="Arial" w:cs="Arial"/>
              <w:b/>
              <w:bCs/>
              <w:color w:val="000000" w:themeColor="text1"/>
              <w:sz w:val="28"/>
              <w:szCs w:val="28"/>
            </w:rPr>
          </w:pPr>
          <w:r w:rsidRPr="008C4AF3">
            <w:rPr>
              <w:rFonts w:ascii="Arial" w:hAnsi="Arial" w:cs="Arial"/>
              <w:b/>
              <w:bCs/>
              <w:color w:val="000000" w:themeColor="text1"/>
              <w:sz w:val="28"/>
              <w:szCs w:val="28"/>
            </w:rPr>
            <w:t>Contents</w:t>
          </w:r>
        </w:p>
        <w:p w14:paraId="4E220EA3" w14:textId="77777777" w:rsidR="00036885" w:rsidRPr="008C4AF3" w:rsidRDefault="00036885" w:rsidP="00036885">
          <w:pPr>
            <w:rPr>
              <w:color w:val="000000" w:themeColor="text1"/>
            </w:rPr>
          </w:pPr>
        </w:p>
        <w:p w14:paraId="3EBCA863" w14:textId="35A18A38" w:rsidR="00036885" w:rsidRPr="008C4AF3" w:rsidRDefault="00036885" w:rsidP="00036885">
          <w:pPr>
            <w:pStyle w:val="TOC1"/>
            <w:tabs>
              <w:tab w:val="left" w:pos="426"/>
              <w:tab w:val="right" w:leader="dot" w:pos="9016"/>
            </w:tabs>
            <w:spacing w:line="360" w:lineRule="auto"/>
            <w:rPr>
              <w:rFonts w:ascii="Arial" w:hAnsi="Arial" w:cs="Arial"/>
              <w:noProof/>
              <w:color w:val="000000" w:themeColor="text1"/>
              <w:sz w:val="24"/>
              <w:szCs w:val="24"/>
              <w:lang w:eastAsia="en-GB"/>
            </w:rPr>
          </w:pPr>
          <w:r w:rsidRPr="008C4AF3">
            <w:rPr>
              <w:rFonts w:ascii="Arial" w:hAnsi="Arial" w:cs="Arial"/>
              <w:color w:val="000000" w:themeColor="text1"/>
              <w:sz w:val="24"/>
              <w:szCs w:val="24"/>
            </w:rPr>
            <w:fldChar w:fldCharType="begin"/>
          </w:r>
          <w:r w:rsidRPr="008C4AF3">
            <w:rPr>
              <w:rFonts w:ascii="Arial" w:hAnsi="Arial" w:cs="Arial"/>
              <w:color w:val="000000" w:themeColor="text1"/>
              <w:sz w:val="24"/>
              <w:szCs w:val="24"/>
            </w:rPr>
            <w:instrText xml:space="preserve"> TOC \o "1-3" \h \z \u </w:instrText>
          </w:r>
          <w:r w:rsidRPr="008C4AF3">
            <w:rPr>
              <w:rFonts w:ascii="Arial" w:hAnsi="Arial" w:cs="Arial"/>
              <w:color w:val="000000" w:themeColor="text1"/>
              <w:sz w:val="24"/>
              <w:szCs w:val="24"/>
            </w:rPr>
            <w:fldChar w:fldCharType="separate"/>
          </w:r>
          <w:hyperlink w:anchor="_Toc106795336" w:history="1">
            <w:r w:rsidRPr="008C4AF3">
              <w:rPr>
                <w:rStyle w:val="Hyperlink"/>
                <w:rFonts w:ascii="Arial" w:hAnsi="Arial" w:cs="Arial"/>
                <w:noProof/>
                <w:color w:val="000000" w:themeColor="text1"/>
                <w:sz w:val="24"/>
                <w:szCs w:val="24"/>
              </w:rPr>
              <w:t>1.</w:t>
            </w:r>
            <w:r w:rsidRPr="008C4AF3">
              <w:rPr>
                <w:rFonts w:ascii="Arial" w:hAnsi="Arial" w:cs="Arial"/>
                <w:noProof/>
                <w:color w:val="000000" w:themeColor="text1"/>
                <w:sz w:val="24"/>
                <w:szCs w:val="24"/>
                <w:lang w:eastAsia="en-GB"/>
              </w:rPr>
              <w:tab/>
            </w:r>
            <w:r w:rsidRPr="008C4AF3">
              <w:rPr>
                <w:rStyle w:val="Hyperlink"/>
                <w:rFonts w:ascii="Arial" w:hAnsi="Arial" w:cs="Arial"/>
                <w:noProof/>
                <w:color w:val="000000" w:themeColor="text1"/>
                <w:sz w:val="24"/>
                <w:szCs w:val="24"/>
              </w:rPr>
              <w:t>POLICY</w:t>
            </w:r>
            <w:r w:rsidRPr="008C4AF3">
              <w:rPr>
                <w:rStyle w:val="Hyperlink"/>
                <w:rFonts w:ascii="Arial" w:hAnsi="Arial" w:cs="Arial"/>
                <w:noProof/>
                <w:color w:val="000000" w:themeColor="text1"/>
                <w:spacing w:val="-5"/>
                <w:sz w:val="24"/>
                <w:szCs w:val="24"/>
              </w:rPr>
              <w:t xml:space="preserve"> </w:t>
            </w:r>
            <w:r w:rsidRPr="008C4AF3">
              <w:rPr>
                <w:rStyle w:val="Hyperlink"/>
                <w:rFonts w:ascii="Arial" w:hAnsi="Arial" w:cs="Arial"/>
                <w:noProof/>
                <w:color w:val="000000" w:themeColor="text1"/>
                <w:sz w:val="24"/>
                <w:szCs w:val="24"/>
              </w:rPr>
              <w:t>S</w:t>
            </w:r>
            <w:r w:rsidRPr="008C4AF3">
              <w:rPr>
                <w:rStyle w:val="Hyperlink"/>
                <w:rFonts w:ascii="Arial" w:hAnsi="Arial" w:cs="Arial"/>
                <w:noProof/>
                <w:color w:val="000000" w:themeColor="text1"/>
                <w:spacing w:val="1"/>
                <w:sz w:val="24"/>
                <w:szCs w:val="24"/>
              </w:rPr>
              <w:t>T</w:t>
            </w:r>
            <w:r w:rsidRPr="008C4AF3">
              <w:rPr>
                <w:rStyle w:val="Hyperlink"/>
                <w:rFonts w:ascii="Arial" w:hAnsi="Arial" w:cs="Arial"/>
                <w:noProof/>
                <w:color w:val="000000" w:themeColor="text1"/>
                <w:sz w:val="24"/>
                <w:szCs w:val="24"/>
              </w:rPr>
              <w:t>ATEMENT</w:t>
            </w:r>
            <w:r w:rsidRPr="008C4AF3">
              <w:rPr>
                <w:rFonts w:ascii="Arial" w:hAnsi="Arial" w:cs="Arial"/>
                <w:noProof/>
                <w:webHidden/>
                <w:color w:val="000000" w:themeColor="text1"/>
                <w:sz w:val="24"/>
                <w:szCs w:val="24"/>
              </w:rPr>
              <w:tab/>
            </w:r>
            <w:r w:rsidRPr="008C4AF3">
              <w:rPr>
                <w:rFonts w:ascii="Arial" w:hAnsi="Arial" w:cs="Arial"/>
                <w:noProof/>
                <w:webHidden/>
                <w:color w:val="000000" w:themeColor="text1"/>
                <w:sz w:val="24"/>
                <w:szCs w:val="24"/>
              </w:rPr>
              <w:fldChar w:fldCharType="begin"/>
            </w:r>
            <w:r w:rsidRPr="008C4AF3">
              <w:rPr>
                <w:rFonts w:ascii="Arial" w:hAnsi="Arial" w:cs="Arial"/>
                <w:noProof/>
                <w:webHidden/>
                <w:color w:val="000000" w:themeColor="text1"/>
                <w:sz w:val="24"/>
                <w:szCs w:val="24"/>
              </w:rPr>
              <w:instrText xml:space="preserve"> PAGEREF _Toc106795336 \h </w:instrText>
            </w:r>
            <w:r w:rsidRPr="008C4AF3">
              <w:rPr>
                <w:rFonts w:ascii="Arial" w:hAnsi="Arial" w:cs="Arial"/>
                <w:noProof/>
                <w:webHidden/>
                <w:color w:val="000000" w:themeColor="text1"/>
                <w:sz w:val="24"/>
                <w:szCs w:val="24"/>
              </w:rPr>
            </w:r>
            <w:r w:rsidRPr="008C4AF3">
              <w:rPr>
                <w:rFonts w:ascii="Arial" w:hAnsi="Arial" w:cs="Arial"/>
                <w:noProof/>
                <w:webHidden/>
                <w:color w:val="000000" w:themeColor="text1"/>
                <w:sz w:val="24"/>
                <w:szCs w:val="24"/>
              </w:rPr>
              <w:fldChar w:fldCharType="separate"/>
            </w:r>
            <w:r w:rsidRPr="008C4AF3">
              <w:rPr>
                <w:rFonts w:ascii="Arial" w:hAnsi="Arial" w:cs="Arial"/>
                <w:noProof/>
                <w:webHidden/>
                <w:color w:val="000000" w:themeColor="text1"/>
                <w:sz w:val="24"/>
                <w:szCs w:val="24"/>
              </w:rPr>
              <w:t>3</w:t>
            </w:r>
            <w:r w:rsidRPr="008C4AF3">
              <w:rPr>
                <w:rFonts w:ascii="Arial" w:hAnsi="Arial" w:cs="Arial"/>
                <w:noProof/>
                <w:webHidden/>
                <w:color w:val="000000" w:themeColor="text1"/>
                <w:sz w:val="24"/>
                <w:szCs w:val="24"/>
              </w:rPr>
              <w:fldChar w:fldCharType="end"/>
            </w:r>
          </w:hyperlink>
        </w:p>
        <w:p w14:paraId="6694ACA3" w14:textId="589BB19B" w:rsidR="00036885" w:rsidRPr="008C4AF3" w:rsidRDefault="008C4AF3" w:rsidP="00036885">
          <w:pPr>
            <w:pStyle w:val="TOC1"/>
            <w:tabs>
              <w:tab w:val="left" w:pos="426"/>
              <w:tab w:val="right" w:leader="dot" w:pos="9016"/>
            </w:tabs>
            <w:spacing w:line="360" w:lineRule="auto"/>
            <w:rPr>
              <w:rFonts w:ascii="Arial" w:hAnsi="Arial" w:cs="Arial"/>
              <w:noProof/>
              <w:color w:val="000000" w:themeColor="text1"/>
              <w:sz w:val="24"/>
              <w:szCs w:val="24"/>
              <w:lang w:eastAsia="en-GB"/>
            </w:rPr>
          </w:pPr>
          <w:hyperlink w:anchor="_Toc106795337" w:history="1">
            <w:r w:rsidR="00036885" w:rsidRPr="008C4AF3">
              <w:rPr>
                <w:rStyle w:val="Hyperlink"/>
                <w:rFonts w:ascii="Arial" w:hAnsi="Arial" w:cs="Arial"/>
                <w:noProof/>
                <w:color w:val="000000" w:themeColor="text1"/>
                <w:sz w:val="24"/>
                <w:szCs w:val="24"/>
              </w:rPr>
              <w:t>2.</w:t>
            </w:r>
            <w:r w:rsidR="00036885" w:rsidRPr="008C4AF3">
              <w:rPr>
                <w:rFonts w:ascii="Arial" w:hAnsi="Arial" w:cs="Arial"/>
                <w:noProof/>
                <w:color w:val="000000" w:themeColor="text1"/>
                <w:sz w:val="24"/>
                <w:szCs w:val="24"/>
                <w:lang w:eastAsia="en-GB"/>
              </w:rPr>
              <w:tab/>
            </w:r>
            <w:r w:rsidR="00036885" w:rsidRPr="008C4AF3">
              <w:rPr>
                <w:rStyle w:val="Hyperlink"/>
                <w:rFonts w:ascii="Arial" w:hAnsi="Arial" w:cs="Arial"/>
                <w:noProof/>
                <w:color w:val="000000" w:themeColor="text1"/>
                <w:sz w:val="24"/>
                <w:szCs w:val="24"/>
              </w:rPr>
              <w:t>PRINC</w:t>
            </w:r>
            <w:r w:rsidR="00036885" w:rsidRPr="008C4AF3">
              <w:rPr>
                <w:rStyle w:val="Hyperlink"/>
                <w:rFonts w:ascii="Arial" w:hAnsi="Arial" w:cs="Arial"/>
                <w:noProof/>
                <w:color w:val="000000" w:themeColor="text1"/>
                <w:spacing w:val="1"/>
                <w:sz w:val="24"/>
                <w:szCs w:val="24"/>
              </w:rPr>
              <w:t>I</w:t>
            </w:r>
            <w:r w:rsidR="00036885" w:rsidRPr="008C4AF3">
              <w:rPr>
                <w:rStyle w:val="Hyperlink"/>
                <w:rFonts w:ascii="Arial" w:hAnsi="Arial" w:cs="Arial"/>
                <w:noProof/>
                <w:color w:val="000000" w:themeColor="text1"/>
                <w:sz w:val="24"/>
                <w:szCs w:val="24"/>
              </w:rPr>
              <w:t>PL</w:t>
            </w:r>
            <w:r w:rsidR="00036885" w:rsidRPr="008C4AF3">
              <w:rPr>
                <w:rStyle w:val="Hyperlink"/>
                <w:rFonts w:ascii="Arial" w:hAnsi="Arial" w:cs="Arial"/>
                <w:noProof/>
                <w:color w:val="000000" w:themeColor="text1"/>
                <w:spacing w:val="1"/>
                <w:sz w:val="24"/>
                <w:szCs w:val="24"/>
              </w:rPr>
              <w:t>E</w:t>
            </w:r>
            <w:r w:rsidR="00036885" w:rsidRPr="008C4AF3">
              <w:rPr>
                <w:rStyle w:val="Hyperlink"/>
                <w:rFonts w:ascii="Arial" w:hAnsi="Arial" w:cs="Arial"/>
                <w:noProof/>
                <w:color w:val="000000" w:themeColor="text1"/>
                <w:sz w:val="24"/>
                <w:szCs w:val="24"/>
              </w:rPr>
              <w:t>S</w:t>
            </w:r>
            <w:r w:rsidR="00036885" w:rsidRPr="008C4AF3">
              <w:rPr>
                <w:rFonts w:ascii="Arial" w:hAnsi="Arial" w:cs="Arial"/>
                <w:noProof/>
                <w:webHidden/>
                <w:color w:val="000000" w:themeColor="text1"/>
                <w:sz w:val="24"/>
                <w:szCs w:val="24"/>
              </w:rPr>
              <w:tab/>
            </w:r>
            <w:r w:rsidR="00036885" w:rsidRPr="008C4AF3">
              <w:rPr>
                <w:rFonts w:ascii="Arial" w:hAnsi="Arial" w:cs="Arial"/>
                <w:noProof/>
                <w:webHidden/>
                <w:color w:val="000000" w:themeColor="text1"/>
                <w:sz w:val="24"/>
                <w:szCs w:val="24"/>
              </w:rPr>
              <w:fldChar w:fldCharType="begin"/>
            </w:r>
            <w:r w:rsidR="00036885" w:rsidRPr="008C4AF3">
              <w:rPr>
                <w:rFonts w:ascii="Arial" w:hAnsi="Arial" w:cs="Arial"/>
                <w:noProof/>
                <w:webHidden/>
                <w:color w:val="000000" w:themeColor="text1"/>
                <w:sz w:val="24"/>
                <w:szCs w:val="24"/>
              </w:rPr>
              <w:instrText xml:space="preserve"> PAGEREF _Toc106795337 \h </w:instrText>
            </w:r>
            <w:r w:rsidR="00036885" w:rsidRPr="008C4AF3">
              <w:rPr>
                <w:rFonts w:ascii="Arial" w:hAnsi="Arial" w:cs="Arial"/>
                <w:noProof/>
                <w:webHidden/>
                <w:color w:val="000000" w:themeColor="text1"/>
                <w:sz w:val="24"/>
                <w:szCs w:val="24"/>
              </w:rPr>
            </w:r>
            <w:r w:rsidR="00036885" w:rsidRPr="008C4AF3">
              <w:rPr>
                <w:rFonts w:ascii="Arial" w:hAnsi="Arial" w:cs="Arial"/>
                <w:noProof/>
                <w:webHidden/>
                <w:color w:val="000000" w:themeColor="text1"/>
                <w:sz w:val="24"/>
                <w:szCs w:val="24"/>
              </w:rPr>
              <w:fldChar w:fldCharType="separate"/>
            </w:r>
            <w:r w:rsidR="00036885" w:rsidRPr="008C4AF3">
              <w:rPr>
                <w:rFonts w:ascii="Arial" w:hAnsi="Arial" w:cs="Arial"/>
                <w:noProof/>
                <w:webHidden/>
                <w:color w:val="000000" w:themeColor="text1"/>
                <w:sz w:val="24"/>
                <w:szCs w:val="24"/>
              </w:rPr>
              <w:t>3</w:t>
            </w:r>
            <w:r w:rsidR="00036885" w:rsidRPr="008C4AF3">
              <w:rPr>
                <w:rFonts w:ascii="Arial" w:hAnsi="Arial" w:cs="Arial"/>
                <w:noProof/>
                <w:webHidden/>
                <w:color w:val="000000" w:themeColor="text1"/>
                <w:sz w:val="24"/>
                <w:szCs w:val="24"/>
              </w:rPr>
              <w:fldChar w:fldCharType="end"/>
            </w:r>
          </w:hyperlink>
        </w:p>
        <w:p w14:paraId="70AFDEC6" w14:textId="65B016D2" w:rsidR="00036885" w:rsidRPr="008C4AF3" w:rsidRDefault="008C4AF3" w:rsidP="00036885">
          <w:pPr>
            <w:pStyle w:val="TOC1"/>
            <w:tabs>
              <w:tab w:val="left" w:pos="426"/>
              <w:tab w:val="right" w:leader="dot" w:pos="9016"/>
            </w:tabs>
            <w:spacing w:line="360" w:lineRule="auto"/>
            <w:rPr>
              <w:rFonts w:ascii="Arial" w:hAnsi="Arial" w:cs="Arial"/>
              <w:noProof/>
              <w:color w:val="000000" w:themeColor="text1"/>
              <w:sz w:val="24"/>
              <w:szCs w:val="24"/>
              <w:lang w:eastAsia="en-GB"/>
            </w:rPr>
          </w:pPr>
          <w:hyperlink w:anchor="_Toc106795338" w:history="1">
            <w:r w:rsidR="00036885" w:rsidRPr="008C4AF3">
              <w:rPr>
                <w:rStyle w:val="Hyperlink"/>
                <w:rFonts w:ascii="Arial" w:hAnsi="Arial" w:cs="Arial"/>
                <w:noProof/>
                <w:color w:val="000000" w:themeColor="text1"/>
                <w:sz w:val="24"/>
                <w:szCs w:val="24"/>
              </w:rPr>
              <w:t>3.</w:t>
            </w:r>
            <w:r w:rsidR="00036885" w:rsidRPr="008C4AF3">
              <w:rPr>
                <w:rFonts w:ascii="Arial" w:hAnsi="Arial" w:cs="Arial"/>
                <w:noProof/>
                <w:color w:val="000000" w:themeColor="text1"/>
                <w:sz w:val="24"/>
                <w:szCs w:val="24"/>
                <w:lang w:eastAsia="en-GB"/>
              </w:rPr>
              <w:tab/>
            </w:r>
            <w:r w:rsidR="00036885" w:rsidRPr="008C4AF3">
              <w:rPr>
                <w:rStyle w:val="Hyperlink"/>
                <w:rFonts w:ascii="Arial" w:hAnsi="Arial" w:cs="Arial"/>
                <w:noProof/>
                <w:color w:val="000000" w:themeColor="text1"/>
                <w:sz w:val="24"/>
                <w:szCs w:val="24"/>
              </w:rPr>
              <w:t>ELIGIBILITY CRITERIA</w:t>
            </w:r>
            <w:r w:rsidR="00036885" w:rsidRPr="008C4AF3">
              <w:rPr>
                <w:rFonts w:ascii="Arial" w:hAnsi="Arial" w:cs="Arial"/>
                <w:noProof/>
                <w:webHidden/>
                <w:color w:val="000000" w:themeColor="text1"/>
                <w:sz w:val="24"/>
                <w:szCs w:val="24"/>
              </w:rPr>
              <w:tab/>
            </w:r>
            <w:r w:rsidR="00036885" w:rsidRPr="008C4AF3">
              <w:rPr>
                <w:rFonts w:ascii="Arial" w:hAnsi="Arial" w:cs="Arial"/>
                <w:noProof/>
                <w:webHidden/>
                <w:color w:val="000000" w:themeColor="text1"/>
                <w:sz w:val="24"/>
                <w:szCs w:val="24"/>
              </w:rPr>
              <w:fldChar w:fldCharType="begin"/>
            </w:r>
            <w:r w:rsidR="00036885" w:rsidRPr="008C4AF3">
              <w:rPr>
                <w:rFonts w:ascii="Arial" w:hAnsi="Arial" w:cs="Arial"/>
                <w:noProof/>
                <w:webHidden/>
                <w:color w:val="000000" w:themeColor="text1"/>
                <w:sz w:val="24"/>
                <w:szCs w:val="24"/>
              </w:rPr>
              <w:instrText xml:space="preserve"> PAGEREF _Toc106795338 \h </w:instrText>
            </w:r>
            <w:r w:rsidR="00036885" w:rsidRPr="008C4AF3">
              <w:rPr>
                <w:rFonts w:ascii="Arial" w:hAnsi="Arial" w:cs="Arial"/>
                <w:noProof/>
                <w:webHidden/>
                <w:color w:val="000000" w:themeColor="text1"/>
                <w:sz w:val="24"/>
                <w:szCs w:val="24"/>
              </w:rPr>
            </w:r>
            <w:r w:rsidR="00036885" w:rsidRPr="008C4AF3">
              <w:rPr>
                <w:rFonts w:ascii="Arial" w:hAnsi="Arial" w:cs="Arial"/>
                <w:noProof/>
                <w:webHidden/>
                <w:color w:val="000000" w:themeColor="text1"/>
                <w:sz w:val="24"/>
                <w:szCs w:val="24"/>
              </w:rPr>
              <w:fldChar w:fldCharType="separate"/>
            </w:r>
            <w:r w:rsidR="00036885" w:rsidRPr="008C4AF3">
              <w:rPr>
                <w:rFonts w:ascii="Arial" w:hAnsi="Arial" w:cs="Arial"/>
                <w:noProof/>
                <w:webHidden/>
                <w:color w:val="000000" w:themeColor="text1"/>
                <w:sz w:val="24"/>
                <w:szCs w:val="24"/>
              </w:rPr>
              <w:t>4</w:t>
            </w:r>
            <w:r w:rsidR="00036885" w:rsidRPr="008C4AF3">
              <w:rPr>
                <w:rFonts w:ascii="Arial" w:hAnsi="Arial" w:cs="Arial"/>
                <w:noProof/>
                <w:webHidden/>
                <w:color w:val="000000" w:themeColor="text1"/>
                <w:sz w:val="24"/>
                <w:szCs w:val="24"/>
              </w:rPr>
              <w:fldChar w:fldCharType="end"/>
            </w:r>
          </w:hyperlink>
        </w:p>
        <w:p w14:paraId="260251E9" w14:textId="29134681" w:rsidR="00036885" w:rsidRPr="008C4AF3" w:rsidRDefault="008C4AF3" w:rsidP="00036885">
          <w:pPr>
            <w:pStyle w:val="TOC1"/>
            <w:tabs>
              <w:tab w:val="left" w:pos="426"/>
              <w:tab w:val="right" w:leader="dot" w:pos="9016"/>
            </w:tabs>
            <w:spacing w:line="360" w:lineRule="auto"/>
            <w:rPr>
              <w:rFonts w:ascii="Arial" w:hAnsi="Arial" w:cs="Arial"/>
              <w:noProof/>
              <w:color w:val="000000" w:themeColor="text1"/>
              <w:sz w:val="24"/>
              <w:szCs w:val="24"/>
              <w:lang w:eastAsia="en-GB"/>
            </w:rPr>
          </w:pPr>
          <w:hyperlink w:anchor="_Toc106795339" w:history="1">
            <w:r w:rsidR="00036885" w:rsidRPr="008C4AF3">
              <w:rPr>
                <w:rStyle w:val="Hyperlink"/>
                <w:rFonts w:ascii="Arial" w:hAnsi="Arial" w:cs="Arial"/>
                <w:noProof/>
                <w:color w:val="000000" w:themeColor="text1"/>
                <w:sz w:val="24"/>
                <w:szCs w:val="24"/>
              </w:rPr>
              <w:t>4.</w:t>
            </w:r>
            <w:r w:rsidR="00036885" w:rsidRPr="008C4AF3">
              <w:rPr>
                <w:rFonts w:ascii="Arial" w:hAnsi="Arial" w:cs="Arial"/>
                <w:noProof/>
                <w:color w:val="000000" w:themeColor="text1"/>
                <w:sz w:val="24"/>
                <w:szCs w:val="24"/>
                <w:lang w:eastAsia="en-GB"/>
              </w:rPr>
              <w:tab/>
            </w:r>
            <w:r w:rsidR="00036885" w:rsidRPr="008C4AF3">
              <w:rPr>
                <w:rStyle w:val="Hyperlink"/>
                <w:rFonts w:ascii="Arial" w:hAnsi="Arial" w:cs="Arial"/>
                <w:noProof/>
                <w:color w:val="000000" w:themeColor="text1"/>
                <w:sz w:val="24"/>
                <w:szCs w:val="24"/>
              </w:rPr>
              <w:t>REIMBURSEMENT COSTS</w:t>
            </w:r>
            <w:r w:rsidR="00036885" w:rsidRPr="008C4AF3">
              <w:rPr>
                <w:rFonts w:ascii="Arial" w:hAnsi="Arial" w:cs="Arial"/>
                <w:noProof/>
                <w:webHidden/>
                <w:color w:val="000000" w:themeColor="text1"/>
                <w:sz w:val="24"/>
                <w:szCs w:val="24"/>
              </w:rPr>
              <w:tab/>
            </w:r>
            <w:r w:rsidR="00036885" w:rsidRPr="008C4AF3">
              <w:rPr>
                <w:rFonts w:ascii="Arial" w:hAnsi="Arial" w:cs="Arial"/>
                <w:noProof/>
                <w:webHidden/>
                <w:color w:val="000000" w:themeColor="text1"/>
                <w:sz w:val="24"/>
                <w:szCs w:val="24"/>
              </w:rPr>
              <w:fldChar w:fldCharType="begin"/>
            </w:r>
            <w:r w:rsidR="00036885" w:rsidRPr="008C4AF3">
              <w:rPr>
                <w:rFonts w:ascii="Arial" w:hAnsi="Arial" w:cs="Arial"/>
                <w:noProof/>
                <w:webHidden/>
                <w:color w:val="000000" w:themeColor="text1"/>
                <w:sz w:val="24"/>
                <w:szCs w:val="24"/>
              </w:rPr>
              <w:instrText xml:space="preserve"> PAGEREF _Toc106795339 \h </w:instrText>
            </w:r>
            <w:r w:rsidR="00036885" w:rsidRPr="008C4AF3">
              <w:rPr>
                <w:rFonts w:ascii="Arial" w:hAnsi="Arial" w:cs="Arial"/>
                <w:noProof/>
                <w:webHidden/>
                <w:color w:val="000000" w:themeColor="text1"/>
                <w:sz w:val="24"/>
                <w:szCs w:val="24"/>
              </w:rPr>
            </w:r>
            <w:r w:rsidR="00036885" w:rsidRPr="008C4AF3">
              <w:rPr>
                <w:rFonts w:ascii="Arial" w:hAnsi="Arial" w:cs="Arial"/>
                <w:noProof/>
                <w:webHidden/>
                <w:color w:val="000000" w:themeColor="text1"/>
                <w:sz w:val="24"/>
                <w:szCs w:val="24"/>
              </w:rPr>
              <w:fldChar w:fldCharType="separate"/>
            </w:r>
            <w:r w:rsidR="00036885" w:rsidRPr="008C4AF3">
              <w:rPr>
                <w:rFonts w:ascii="Arial" w:hAnsi="Arial" w:cs="Arial"/>
                <w:noProof/>
                <w:webHidden/>
                <w:color w:val="000000" w:themeColor="text1"/>
                <w:sz w:val="24"/>
                <w:szCs w:val="24"/>
              </w:rPr>
              <w:t>4</w:t>
            </w:r>
            <w:r w:rsidR="00036885" w:rsidRPr="008C4AF3">
              <w:rPr>
                <w:rFonts w:ascii="Arial" w:hAnsi="Arial" w:cs="Arial"/>
                <w:noProof/>
                <w:webHidden/>
                <w:color w:val="000000" w:themeColor="text1"/>
                <w:sz w:val="24"/>
                <w:szCs w:val="24"/>
              </w:rPr>
              <w:fldChar w:fldCharType="end"/>
            </w:r>
          </w:hyperlink>
        </w:p>
        <w:p w14:paraId="420D1469" w14:textId="499FA17C" w:rsidR="00036885" w:rsidRPr="008C4AF3" w:rsidRDefault="008C4AF3" w:rsidP="00036885">
          <w:pPr>
            <w:pStyle w:val="TOC1"/>
            <w:tabs>
              <w:tab w:val="left" w:pos="426"/>
              <w:tab w:val="right" w:leader="dot" w:pos="9016"/>
            </w:tabs>
            <w:spacing w:line="360" w:lineRule="auto"/>
            <w:rPr>
              <w:rFonts w:ascii="Arial" w:hAnsi="Arial" w:cs="Arial"/>
              <w:noProof/>
              <w:color w:val="000000" w:themeColor="text1"/>
              <w:sz w:val="24"/>
              <w:szCs w:val="24"/>
              <w:lang w:eastAsia="en-GB"/>
            </w:rPr>
          </w:pPr>
          <w:hyperlink w:anchor="_Toc106795340" w:history="1">
            <w:r w:rsidR="00036885" w:rsidRPr="008C4AF3">
              <w:rPr>
                <w:rStyle w:val="Hyperlink"/>
                <w:rFonts w:ascii="Arial" w:hAnsi="Arial" w:cs="Arial"/>
                <w:noProof/>
                <w:color w:val="000000" w:themeColor="text1"/>
                <w:sz w:val="24"/>
                <w:szCs w:val="24"/>
              </w:rPr>
              <w:t>5.</w:t>
            </w:r>
            <w:r w:rsidR="00036885" w:rsidRPr="008C4AF3">
              <w:rPr>
                <w:rFonts w:ascii="Arial" w:hAnsi="Arial" w:cs="Arial"/>
                <w:noProof/>
                <w:color w:val="000000" w:themeColor="text1"/>
                <w:sz w:val="24"/>
                <w:szCs w:val="24"/>
                <w:lang w:eastAsia="en-GB"/>
              </w:rPr>
              <w:tab/>
            </w:r>
            <w:r w:rsidR="00036885" w:rsidRPr="008C4AF3">
              <w:rPr>
                <w:rStyle w:val="Hyperlink"/>
                <w:rFonts w:ascii="Arial" w:hAnsi="Arial" w:cs="Arial"/>
                <w:noProof/>
                <w:color w:val="000000" w:themeColor="text1"/>
                <w:sz w:val="24"/>
                <w:szCs w:val="24"/>
              </w:rPr>
              <w:t>PROCEDURE FOR CLAIMING EXPENSES</w:t>
            </w:r>
            <w:r w:rsidR="00036885" w:rsidRPr="008C4AF3">
              <w:rPr>
                <w:rFonts w:ascii="Arial" w:hAnsi="Arial" w:cs="Arial"/>
                <w:noProof/>
                <w:webHidden/>
                <w:color w:val="000000" w:themeColor="text1"/>
                <w:sz w:val="24"/>
                <w:szCs w:val="24"/>
              </w:rPr>
              <w:tab/>
            </w:r>
            <w:r w:rsidR="00036885" w:rsidRPr="008C4AF3">
              <w:rPr>
                <w:rFonts w:ascii="Arial" w:hAnsi="Arial" w:cs="Arial"/>
                <w:noProof/>
                <w:webHidden/>
                <w:color w:val="000000" w:themeColor="text1"/>
                <w:sz w:val="24"/>
                <w:szCs w:val="24"/>
              </w:rPr>
              <w:fldChar w:fldCharType="begin"/>
            </w:r>
            <w:r w:rsidR="00036885" w:rsidRPr="008C4AF3">
              <w:rPr>
                <w:rFonts w:ascii="Arial" w:hAnsi="Arial" w:cs="Arial"/>
                <w:noProof/>
                <w:webHidden/>
                <w:color w:val="000000" w:themeColor="text1"/>
                <w:sz w:val="24"/>
                <w:szCs w:val="24"/>
              </w:rPr>
              <w:instrText xml:space="preserve"> PAGEREF _Toc106795340 \h </w:instrText>
            </w:r>
            <w:r w:rsidR="00036885" w:rsidRPr="008C4AF3">
              <w:rPr>
                <w:rFonts w:ascii="Arial" w:hAnsi="Arial" w:cs="Arial"/>
                <w:noProof/>
                <w:webHidden/>
                <w:color w:val="000000" w:themeColor="text1"/>
                <w:sz w:val="24"/>
                <w:szCs w:val="24"/>
              </w:rPr>
            </w:r>
            <w:r w:rsidR="00036885" w:rsidRPr="008C4AF3">
              <w:rPr>
                <w:rFonts w:ascii="Arial" w:hAnsi="Arial" w:cs="Arial"/>
                <w:noProof/>
                <w:webHidden/>
                <w:color w:val="000000" w:themeColor="text1"/>
                <w:sz w:val="24"/>
                <w:szCs w:val="24"/>
              </w:rPr>
              <w:fldChar w:fldCharType="separate"/>
            </w:r>
            <w:r w:rsidR="00036885" w:rsidRPr="008C4AF3">
              <w:rPr>
                <w:rFonts w:ascii="Arial" w:hAnsi="Arial" w:cs="Arial"/>
                <w:noProof/>
                <w:webHidden/>
                <w:color w:val="000000" w:themeColor="text1"/>
                <w:sz w:val="24"/>
                <w:szCs w:val="24"/>
              </w:rPr>
              <w:t>7</w:t>
            </w:r>
            <w:r w:rsidR="00036885" w:rsidRPr="008C4AF3">
              <w:rPr>
                <w:rFonts w:ascii="Arial" w:hAnsi="Arial" w:cs="Arial"/>
                <w:noProof/>
                <w:webHidden/>
                <w:color w:val="000000" w:themeColor="text1"/>
                <w:sz w:val="24"/>
                <w:szCs w:val="24"/>
              </w:rPr>
              <w:fldChar w:fldCharType="end"/>
            </w:r>
          </w:hyperlink>
        </w:p>
        <w:p w14:paraId="0AD4E5E7" w14:textId="6084145E" w:rsidR="00036885" w:rsidRPr="008C4AF3" w:rsidRDefault="008C4AF3" w:rsidP="00036885">
          <w:pPr>
            <w:pStyle w:val="TOC1"/>
            <w:tabs>
              <w:tab w:val="left" w:pos="426"/>
              <w:tab w:val="right" w:leader="dot" w:pos="9016"/>
            </w:tabs>
            <w:spacing w:line="360" w:lineRule="auto"/>
            <w:rPr>
              <w:rFonts w:ascii="Arial" w:hAnsi="Arial" w:cs="Arial"/>
              <w:noProof/>
              <w:color w:val="000000" w:themeColor="text1"/>
              <w:sz w:val="24"/>
              <w:szCs w:val="24"/>
              <w:lang w:eastAsia="en-GB"/>
            </w:rPr>
          </w:pPr>
          <w:hyperlink w:anchor="_Toc106795341" w:history="1">
            <w:r w:rsidR="00036885" w:rsidRPr="008C4AF3">
              <w:rPr>
                <w:rStyle w:val="Hyperlink"/>
                <w:rFonts w:ascii="Arial" w:hAnsi="Arial" w:cs="Arial"/>
                <w:noProof/>
                <w:color w:val="000000" w:themeColor="text1"/>
                <w:sz w:val="24"/>
                <w:szCs w:val="24"/>
              </w:rPr>
              <w:t>6.</w:t>
            </w:r>
            <w:r w:rsidR="00036885" w:rsidRPr="008C4AF3">
              <w:rPr>
                <w:rFonts w:ascii="Arial" w:hAnsi="Arial" w:cs="Arial"/>
                <w:noProof/>
                <w:color w:val="000000" w:themeColor="text1"/>
                <w:sz w:val="24"/>
                <w:szCs w:val="24"/>
                <w:lang w:eastAsia="en-GB"/>
              </w:rPr>
              <w:tab/>
            </w:r>
            <w:r w:rsidR="00036885" w:rsidRPr="008C4AF3">
              <w:rPr>
                <w:rStyle w:val="Hyperlink"/>
                <w:rFonts w:ascii="Arial" w:hAnsi="Arial" w:cs="Arial"/>
                <w:noProof/>
                <w:color w:val="000000" w:themeColor="text1"/>
                <w:sz w:val="24"/>
                <w:szCs w:val="24"/>
              </w:rPr>
              <w:t>REPAYMENT OF RELOCATION EXPENSES</w:t>
            </w:r>
            <w:r w:rsidR="00036885" w:rsidRPr="008C4AF3">
              <w:rPr>
                <w:rFonts w:ascii="Arial" w:hAnsi="Arial" w:cs="Arial"/>
                <w:noProof/>
                <w:webHidden/>
                <w:color w:val="000000" w:themeColor="text1"/>
                <w:sz w:val="24"/>
                <w:szCs w:val="24"/>
              </w:rPr>
              <w:tab/>
            </w:r>
            <w:r w:rsidR="00036885" w:rsidRPr="008C4AF3">
              <w:rPr>
                <w:rFonts w:ascii="Arial" w:hAnsi="Arial" w:cs="Arial"/>
                <w:noProof/>
                <w:webHidden/>
                <w:color w:val="000000" w:themeColor="text1"/>
                <w:sz w:val="24"/>
                <w:szCs w:val="24"/>
              </w:rPr>
              <w:fldChar w:fldCharType="begin"/>
            </w:r>
            <w:r w:rsidR="00036885" w:rsidRPr="008C4AF3">
              <w:rPr>
                <w:rFonts w:ascii="Arial" w:hAnsi="Arial" w:cs="Arial"/>
                <w:noProof/>
                <w:webHidden/>
                <w:color w:val="000000" w:themeColor="text1"/>
                <w:sz w:val="24"/>
                <w:szCs w:val="24"/>
              </w:rPr>
              <w:instrText xml:space="preserve"> PAGEREF _Toc106795341 \h </w:instrText>
            </w:r>
            <w:r w:rsidR="00036885" w:rsidRPr="008C4AF3">
              <w:rPr>
                <w:rFonts w:ascii="Arial" w:hAnsi="Arial" w:cs="Arial"/>
                <w:noProof/>
                <w:webHidden/>
                <w:color w:val="000000" w:themeColor="text1"/>
                <w:sz w:val="24"/>
                <w:szCs w:val="24"/>
              </w:rPr>
            </w:r>
            <w:r w:rsidR="00036885" w:rsidRPr="008C4AF3">
              <w:rPr>
                <w:rFonts w:ascii="Arial" w:hAnsi="Arial" w:cs="Arial"/>
                <w:noProof/>
                <w:webHidden/>
                <w:color w:val="000000" w:themeColor="text1"/>
                <w:sz w:val="24"/>
                <w:szCs w:val="24"/>
              </w:rPr>
              <w:fldChar w:fldCharType="separate"/>
            </w:r>
            <w:r w:rsidR="00036885" w:rsidRPr="008C4AF3">
              <w:rPr>
                <w:rFonts w:ascii="Arial" w:hAnsi="Arial" w:cs="Arial"/>
                <w:noProof/>
                <w:webHidden/>
                <w:color w:val="000000" w:themeColor="text1"/>
                <w:sz w:val="24"/>
                <w:szCs w:val="24"/>
              </w:rPr>
              <w:t>7</w:t>
            </w:r>
            <w:r w:rsidR="00036885" w:rsidRPr="008C4AF3">
              <w:rPr>
                <w:rFonts w:ascii="Arial" w:hAnsi="Arial" w:cs="Arial"/>
                <w:noProof/>
                <w:webHidden/>
                <w:color w:val="000000" w:themeColor="text1"/>
                <w:sz w:val="24"/>
                <w:szCs w:val="24"/>
              </w:rPr>
              <w:fldChar w:fldCharType="end"/>
            </w:r>
          </w:hyperlink>
        </w:p>
        <w:p w14:paraId="248475A8" w14:textId="2D250922" w:rsidR="00036885" w:rsidRPr="008C4AF3" w:rsidRDefault="008C4AF3" w:rsidP="00036885">
          <w:pPr>
            <w:pStyle w:val="TOC1"/>
            <w:tabs>
              <w:tab w:val="left" w:pos="426"/>
              <w:tab w:val="right" w:leader="dot" w:pos="9016"/>
            </w:tabs>
            <w:spacing w:line="360" w:lineRule="auto"/>
            <w:rPr>
              <w:rFonts w:ascii="Arial" w:hAnsi="Arial" w:cs="Arial"/>
              <w:noProof/>
              <w:color w:val="000000" w:themeColor="text1"/>
              <w:sz w:val="24"/>
              <w:szCs w:val="24"/>
              <w:lang w:eastAsia="en-GB"/>
            </w:rPr>
          </w:pPr>
          <w:hyperlink w:anchor="_Toc106795342" w:history="1">
            <w:r w:rsidR="00036885" w:rsidRPr="008C4AF3">
              <w:rPr>
                <w:rStyle w:val="Hyperlink"/>
                <w:rFonts w:ascii="Arial" w:hAnsi="Arial" w:cs="Arial"/>
                <w:noProof/>
                <w:color w:val="000000" w:themeColor="text1"/>
                <w:sz w:val="24"/>
                <w:szCs w:val="24"/>
              </w:rPr>
              <w:t>7.</w:t>
            </w:r>
            <w:r w:rsidR="00036885" w:rsidRPr="008C4AF3">
              <w:rPr>
                <w:rFonts w:ascii="Arial" w:hAnsi="Arial" w:cs="Arial"/>
                <w:noProof/>
                <w:color w:val="000000" w:themeColor="text1"/>
                <w:sz w:val="24"/>
                <w:szCs w:val="24"/>
                <w:lang w:eastAsia="en-GB"/>
              </w:rPr>
              <w:tab/>
            </w:r>
            <w:r w:rsidR="00036885" w:rsidRPr="008C4AF3">
              <w:rPr>
                <w:rStyle w:val="Hyperlink"/>
                <w:rFonts w:ascii="Arial" w:hAnsi="Arial" w:cs="Arial"/>
                <w:noProof/>
                <w:color w:val="000000" w:themeColor="text1"/>
                <w:sz w:val="24"/>
                <w:szCs w:val="24"/>
              </w:rPr>
              <w:t>EQUALITY</w:t>
            </w:r>
            <w:r w:rsidR="00036885" w:rsidRPr="008C4AF3">
              <w:rPr>
                <w:rFonts w:ascii="Arial" w:hAnsi="Arial" w:cs="Arial"/>
                <w:noProof/>
                <w:webHidden/>
                <w:color w:val="000000" w:themeColor="text1"/>
                <w:sz w:val="24"/>
                <w:szCs w:val="24"/>
              </w:rPr>
              <w:tab/>
            </w:r>
            <w:r w:rsidR="00036885" w:rsidRPr="008C4AF3">
              <w:rPr>
                <w:rFonts w:ascii="Arial" w:hAnsi="Arial" w:cs="Arial"/>
                <w:noProof/>
                <w:webHidden/>
                <w:color w:val="000000" w:themeColor="text1"/>
                <w:sz w:val="24"/>
                <w:szCs w:val="24"/>
              </w:rPr>
              <w:fldChar w:fldCharType="begin"/>
            </w:r>
            <w:r w:rsidR="00036885" w:rsidRPr="008C4AF3">
              <w:rPr>
                <w:rFonts w:ascii="Arial" w:hAnsi="Arial" w:cs="Arial"/>
                <w:noProof/>
                <w:webHidden/>
                <w:color w:val="000000" w:themeColor="text1"/>
                <w:sz w:val="24"/>
                <w:szCs w:val="24"/>
              </w:rPr>
              <w:instrText xml:space="preserve"> PAGEREF _Toc106795342 \h </w:instrText>
            </w:r>
            <w:r w:rsidR="00036885" w:rsidRPr="008C4AF3">
              <w:rPr>
                <w:rFonts w:ascii="Arial" w:hAnsi="Arial" w:cs="Arial"/>
                <w:noProof/>
                <w:webHidden/>
                <w:color w:val="000000" w:themeColor="text1"/>
                <w:sz w:val="24"/>
                <w:szCs w:val="24"/>
              </w:rPr>
            </w:r>
            <w:r w:rsidR="00036885" w:rsidRPr="008C4AF3">
              <w:rPr>
                <w:rFonts w:ascii="Arial" w:hAnsi="Arial" w:cs="Arial"/>
                <w:noProof/>
                <w:webHidden/>
                <w:color w:val="000000" w:themeColor="text1"/>
                <w:sz w:val="24"/>
                <w:szCs w:val="24"/>
              </w:rPr>
              <w:fldChar w:fldCharType="separate"/>
            </w:r>
            <w:r w:rsidR="00036885" w:rsidRPr="008C4AF3">
              <w:rPr>
                <w:rFonts w:ascii="Arial" w:hAnsi="Arial" w:cs="Arial"/>
                <w:noProof/>
                <w:webHidden/>
                <w:color w:val="000000" w:themeColor="text1"/>
                <w:sz w:val="24"/>
                <w:szCs w:val="24"/>
              </w:rPr>
              <w:t>8</w:t>
            </w:r>
            <w:r w:rsidR="00036885" w:rsidRPr="008C4AF3">
              <w:rPr>
                <w:rFonts w:ascii="Arial" w:hAnsi="Arial" w:cs="Arial"/>
                <w:noProof/>
                <w:webHidden/>
                <w:color w:val="000000" w:themeColor="text1"/>
                <w:sz w:val="24"/>
                <w:szCs w:val="24"/>
              </w:rPr>
              <w:fldChar w:fldCharType="end"/>
            </w:r>
          </w:hyperlink>
        </w:p>
        <w:p w14:paraId="08A2845A" w14:textId="4D6098E6" w:rsidR="00036885" w:rsidRPr="008C4AF3" w:rsidRDefault="008C4AF3" w:rsidP="00036885">
          <w:pPr>
            <w:pStyle w:val="TOC1"/>
            <w:tabs>
              <w:tab w:val="left" w:pos="426"/>
              <w:tab w:val="right" w:leader="dot" w:pos="9016"/>
            </w:tabs>
            <w:spacing w:line="360" w:lineRule="auto"/>
            <w:rPr>
              <w:rFonts w:ascii="Arial" w:hAnsi="Arial" w:cs="Arial"/>
              <w:noProof/>
              <w:color w:val="000000" w:themeColor="text1"/>
              <w:sz w:val="24"/>
              <w:szCs w:val="24"/>
              <w:lang w:eastAsia="en-GB"/>
            </w:rPr>
          </w:pPr>
          <w:hyperlink w:anchor="_Toc106795343" w:history="1">
            <w:r w:rsidR="00036885" w:rsidRPr="008C4AF3">
              <w:rPr>
                <w:rStyle w:val="Hyperlink"/>
                <w:rFonts w:ascii="Arial" w:hAnsi="Arial" w:cs="Arial"/>
                <w:noProof/>
                <w:color w:val="000000" w:themeColor="text1"/>
                <w:sz w:val="24"/>
                <w:szCs w:val="24"/>
              </w:rPr>
              <w:t>8.</w:t>
            </w:r>
            <w:r w:rsidR="00036885" w:rsidRPr="008C4AF3">
              <w:rPr>
                <w:rFonts w:ascii="Arial" w:hAnsi="Arial" w:cs="Arial"/>
                <w:noProof/>
                <w:color w:val="000000" w:themeColor="text1"/>
                <w:sz w:val="24"/>
                <w:szCs w:val="24"/>
                <w:lang w:eastAsia="en-GB"/>
              </w:rPr>
              <w:tab/>
            </w:r>
            <w:r w:rsidR="00036885" w:rsidRPr="008C4AF3">
              <w:rPr>
                <w:rStyle w:val="Hyperlink"/>
                <w:rFonts w:ascii="Arial" w:hAnsi="Arial" w:cs="Arial"/>
                <w:noProof/>
                <w:color w:val="000000" w:themeColor="text1"/>
                <w:sz w:val="24"/>
                <w:szCs w:val="24"/>
              </w:rPr>
              <w:t>DATA PROTECTION</w:t>
            </w:r>
            <w:r w:rsidR="00036885" w:rsidRPr="008C4AF3">
              <w:rPr>
                <w:rFonts w:ascii="Arial" w:hAnsi="Arial" w:cs="Arial"/>
                <w:noProof/>
                <w:webHidden/>
                <w:color w:val="000000" w:themeColor="text1"/>
                <w:sz w:val="24"/>
                <w:szCs w:val="24"/>
              </w:rPr>
              <w:tab/>
            </w:r>
            <w:r w:rsidR="00036885" w:rsidRPr="008C4AF3">
              <w:rPr>
                <w:rFonts w:ascii="Arial" w:hAnsi="Arial" w:cs="Arial"/>
                <w:noProof/>
                <w:webHidden/>
                <w:color w:val="000000" w:themeColor="text1"/>
                <w:sz w:val="24"/>
                <w:szCs w:val="24"/>
              </w:rPr>
              <w:fldChar w:fldCharType="begin"/>
            </w:r>
            <w:r w:rsidR="00036885" w:rsidRPr="008C4AF3">
              <w:rPr>
                <w:rFonts w:ascii="Arial" w:hAnsi="Arial" w:cs="Arial"/>
                <w:noProof/>
                <w:webHidden/>
                <w:color w:val="000000" w:themeColor="text1"/>
                <w:sz w:val="24"/>
                <w:szCs w:val="24"/>
              </w:rPr>
              <w:instrText xml:space="preserve"> PAGEREF _Toc106795343 \h </w:instrText>
            </w:r>
            <w:r w:rsidR="00036885" w:rsidRPr="008C4AF3">
              <w:rPr>
                <w:rFonts w:ascii="Arial" w:hAnsi="Arial" w:cs="Arial"/>
                <w:noProof/>
                <w:webHidden/>
                <w:color w:val="000000" w:themeColor="text1"/>
                <w:sz w:val="24"/>
                <w:szCs w:val="24"/>
              </w:rPr>
            </w:r>
            <w:r w:rsidR="00036885" w:rsidRPr="008C4AF3">
              <w:rPr>
                <w:rFonts w:ascii="Arial" w:hAnsi="Arial" w:cs="Arial"/>
                <w:noProof/>
                <w:webHidden/>
                <w:color w:val="000000" w:themeColor="text1"/>
                <w:sz w:val="24"/>
                <w:szCs w:val="24"/>
              </w:rPr>
              <w:fldChar w:fldCharType="separate"/>
            </w:r>
            <w:r w:rsidR="00036885" w:rsidRPr="008C4AF3">
              <w:rPr>
                <w:rFonts w:ascii="Arial" w:hAnsi="Arial" w:cs="Arial"/>
                <w:noProof/>
                <w:webHidden/>
                <w:color w:val="000000" w:themeColor="text1"/>
                <w:sz w:val="24"/>
                <w:szCs w:val="24"/>
              </w:rPr>
              <w:t>8</w:t>
            </w:r>
            <w:r w:rsidR="00036885" w:rsidRPr="008C4AF3">
              <w:rPr>
                <w:rFonts w:ascii="Arial" w:hAnsi="Arial" w:cs="Arial"/>
                <w:noProof/>
                <w:webHidden/>
                <w:color w:val="000000" w:themeColor="text1"/>
                <w:sz w:val="24"/>
                <w:szCs w:val="24"/>
              </w:rPr>
              <w:fldChar w:fldCharType="end"/>
            </w:r>
          </w:hyperlink>
        </w:p>
        <w:p w14:paraId="5DBC2DC3" w14:textId="0153C6B9" w:rsidR="00036885" w:rsidRPr="008C4AF3" w:rsidRDefault="008C4AF3" w:rsidP="00036885">
          <w:pPr>
            <w:pStyle w:val="TOC1"/>
            <w:tabs>
              <w:tab w:val="left" w:pos="426"/>
              <w:tab w:val="right" w:leader="dot" w:pos="9016"/>
            </w:tabs>
            <w:spacing w:line="360" w:lineRule="auto"/>
            <w:rPr>
              <w:rFonts w:ascii="Arial" w:hAnsi="Arial" w:cs="Arial"/>
              <w:noProof/>
              <w:color w:val="000000" w:themeColor="text1"/>
              <w:sz w:val="24"/>
              <w:szCs w:val="24"/>
              <w:lang w:eastAsia="en-GB"/>
            </w:rPr>
          </w:pPr>
          <w:hyperlink w:anchor="_Toc106795344" w:history="1">
            <w:r w:rsidR="00036885" w:rsidRPr="008C4AF3">
              <w:rPr>
                <w:rStyle w:val="Hyperlink"/>
                <w:rFonts w:ascii="Arial" w:hAnsi="Arial" w:cs="Arial"/>
                <w:noProof/>
                <w:color w:val="000000" w:themeColor="text1"/>
                <w:sz w:val="24"/>
                <w:szCs w:val="24"/>
              </w:rPr>
              <w:t>9.</w:t>
            </w:r>
            <w:r w:rsidR="00036885" w:rsidRPr="008C4AF3">
              <w:rPr>
                <w:rFonts w:ascii="Arial" w:hAnsi="Arial" w:cs="Arial"/>
                <w:noProof/>
                <w:color w:val="000000" w:themeColor="text1"/>
                <w:sz w:val="24"/>
                <w:szCs w:val="24"/>
                <w:lang w:eastAsia="en-GB"/>
              </w:rPr>
              <w:tab/>
            </w:r>
            <w:r w:rsidR="00036885" w:rsidRPr="008C4AF3">
              <w:rPr>
                <w:rStyle w:val="Hyperlink"/>
                <w:rFonts w:ascii="Arial" w:hAnsi="Arial" w:cs="Arial"/>
                <w:noProof/>
                <w:color w:val="000000" w:themeColor="text1"/>
                <w:sz w:val="24"/>
                <w:szCs w:val="24"/>
              </w:rPr>
              <w:t>MONITORING &amp; REVIEW</w:t>
            </w:r>
            <w:r w:rsidR="00036885" w:rsidRPr="008C4AF3">
              <w:rPr>
                <w:rFonts w:ascii="Arial" w:hAnsi="Arial" w:cs="Arial"/>
                <w:noProof/>
                <w:webHidden/>
                <w:color w:val="000000" w:themeColor="text1"/>
                <w:sz w:val="24"/>
                <w:szCs w:val="24"/>
              </w:rPr>
              <w:tab/>
            </w:r>
            <w:r w:rsidR="00036885" w:rsidRPr="008C4AF3">
              <w:rPr>
                <w:rFonts w:ascii="Arial" w:hAnsi="Arial" w:cs="Arial"/>
                <w:noProof/>
                <w:webHidden/>
                <w:color w:val="000000" w:themeColor="text1"/>
                <w:sz w:val="24"/>
                <w:szCs w:val="24"/>
              </w:rPr>
              <w:fldChar w:fldCharType="begin"/>
            </w:r>
            <w:r w:rsidR="00036885" w:rsidRPr="008C4AF3">
              <w:rPr>
                <w:rFonts w:ascii="Arial" w:hAnsi="Arial" w:cs="Arial"/>
                <w:noProof/>
                <w:webHidden/>
                <w:color w:val="000000" w:themeColor="text1"/>
                <w:sz w:val="24"/>
                <w:szCs w:val="24"/>
              </w:rPr>
              <w:instrText xml:space="preserve"> PAGEREF _Toc106795344 \h </w:instrText>
            </w:r>
            <w:r w:rsidR="00036885" w:rsidRPr="008C4AF3">
              <w:rPr>
                <w:rFonts w:ascii="Arial" w:hAnsi="Arial" w:cs="Arial"/>
                <w:noProof/>
                <w:webHidden/>
                <w:color w:val="000000" w:themeColor="text1"/>
                <w:sz w:val="24"/>
                <w:szCs w:val="24"/>
              </w:rPr>
            </w:r>
            <w:r w:rsidR="00036885" w:rsidRPr="008C4AF3">
              <w:rPr>
                <w:rFonts w:ascii="Arial" w:hAnsi="Arial" w:cs="Arial"/>
                <w:noProof/>
                <w:webHidden/>
                <w:color w:val="000000" w:themeColor="text1"/>
                <w:sz w:val="24"/>
                <w:szCs w:val="24"/>
              </w:rPr>
              <w:fldChar w:fldCharType="separate"/>
            </w:r>
            <w:r w:rsidR="00036885" w:rsidRPr="008C4AF3">
              <w:rPr>
                <w:rFonts w:ascii="Arial" w:hAnsi="Arial" w:cs="Arial"/>
                <w:noProof/>
                <w:webHidden/>
                <w:color w:val="000000" w:themeColor="text1"/>
                <w:sz w:val="24"/>
                <w:szCs w:val="24"/>
              </w:rPr>
              <w:t>8</w:t>
            </w:r>
            <w:r w:rsidR="00036885" w:rsidRPr="008C4AF3">
              <w:rPr>
                <w:rFonts w:ascii="Arial" w:hAnsi="Arial" w:cs="Arial"/>
                <w:noProof/>
                <w:webHidden/>
                <w:color w:val="000000" w:themeColor="text1"/>
                <w:sz w:val="24"/>
                <w:szCs w:val="24"/>
              </w:rPr>
              <w:fldChar w:fldCharType="end"/>
            </w:r>
          </w:hyperlink>
        </w:p>
        <w:p w14:paraId="17346D1B" w14:textId="01BF2255" w:rsidR="00036885" w:rsidRPr="008C4AF3" w:rsidRDefault="008C4AF3" w:rsidP="00036885">
          <w:pPr>
            <w:pStyle w:val="TOC1"/>
            <w:tabs>
              <w:tab w:val="left" w:pos="426"/>
              <w:tab w:val="left" w:pos="660"/>
              <w:tab w:val="right" w:leader="dot" w:pos="9016"/>
            </w:tabs>
            <w:spacing w:line="360" w:lineRule="auto"/>
            <w:rPr>
              <w:rFonts w:ascii="Arial" w:hAnsi="Arial" w:cs="Arial"/>
              <w:noProof/>
              <w:color w:val="000000" w:themeColor="text1"/>
              <w:sz w:val="24"/>
              <w:szCs w:val="24"/>
              <w:lang w:eastAsia="en-GB"/>
            </w:rPr>
          </w:pPr>
          <w:hyperlink w:anchor="_Toc106795345" w:history="1">
            <w:r w:rsidR="00036885" w:rsidRPr="008C4AF3">
              <w:rPr>
                <w:rStyle w:val="Hyperlink"/>
                <w:rFonts w:ascii="Arial" w:hAnsi="Arial" w:cs="Arial"/>
                <w:noProof/>
                <w:color w:val="000000" w:themeColor="text1"/>
                <w:sz w:val="24"/>
                <w:szCs w:val="24"/>
              </w:rPr>
              <w:t>10.</w:t>
            </w:r>
            <w:r w:rsidR="00036885" w:rsidRPr="008C4AF3">
              <w:rPr>
                <w:rFonts w:ascii="Arial" w:hAnsi="Arial" w:cs="Arial"/>
                <w:noProof/>
                <w:color w:val="000000" w:themeColor="text1"/>
                <w:sz w:val="24"/>
                <w:szCs w:val="24"/>
                <w:lang w:eastAsia="en-GB"/>
              </w:rPr>
              <w:tab/>
            </w:r>
            <w:r w:rsidR="00036885" w:rsidRPr="008C4AF3">
              <w:rPr>
                <w:rStyle w:val="Hyperlink"/>
                <w:rFonts w:ascii="Arial" w:hAnsi="Arial" w:cs="Arial"/>
                <w:noProof/>
                <w:color w:val="000000" w:themeColor="text1"/>
                <w:sz w:val="24"/>
                <w:szCs w:val="24"/>
              </w:rPr>
              <w:t>ASSOCIATED DOCUMENTATION</w:t>
            </w:r>
            <w:r w:rsidR="00036885" w:rsidRPr="008C4AF3">
              <w:rPr>
                <w:rFonts w:ascii="Arial" w:hAnsi="Arial" w:cs="Arial"/>
                <w:noProof/>
                <w:webHidden/>
                <w:color w:val="000000" w:themeColor="text1"/>
                <w:sz w:val="24"/>
                <w:szCs w:val="24"/>
              </w:rPr>
              <w:tab/>
            </w:r>
            <w:r w:rsidR="00036885" w:rsidRPr="008C4AF3">
              <w:rPr>
                <w:rFonts w:ascii="Arial" w:hAnsi="Arial" w:cs="Arial"/>
                <w:noProof/>
                <w:webHidden/>
                <w:color w:val="000000" w:themeColor="text1"/>
                <w:sz w:val="24"/>
                <w:szCs w:val="24"/>
              </w:rPr>
              <w:fldChar w:fldCharType="begin"/>
            </w:r>
            <w:r w:rsidR="00036885" w:rsidRPr="008C4AF3">
              <w:rPr>
                <w:rFonts w:ascii="Arial" w:hAnsi="Arial" w:cs="Arial"/>
                <w:noProof/>
                <w:webHidden/>
                <w:color w:val="000000" w:themeColor="text1"/>
                <w:sz w:val="24"/>
                <w:szCs w:val="24"/>
              </w:rPr>
              <w:instrText xml:space="preserve"> PAGEREF _Toc106795345 \h </w:instrText>
            </w:r>
            <w:r w:rsidR="00036885" w:rsidRPr="008C4AF3">
              <w:rPr>
                <w:rFonts w:ascii="Arial" w:hAnsi="Arial" w:cs="Arial"/>
                <w:noProof/>
                <w:webHidden/>
                <w:color w:val="000000" w:themeColor="text1"/>
                <w:sz w:val="24"/>
                <w:szCs w:val="24"/>
              </w:rPr>
            </w:r>
            <w:r w:rsidR="00036885" w:rsidRPr="008C4AF3">
              <w:rPr>
                <w:rFonts w:ascii="Arial" w:hAnsi="Arial" w:cs="Arial"/>
                <w:noProof/>
                <w:webHidden/>
                <w:color w:val="000000" w:themeColor="text1"/>
                <w:sz w:val="24"/>
                <w:szCs w:val="24"/>
              </w:rPr>
              <w:fldChar w:fldCharType="separate"/>
            </w:r>
            <w:r w:rsidR="00036885" w:rsidRPr="008C4AF3">
              <w:rPr>
                <w:rFonts w:ascii="Arial" w:hAnsi="Arial" w:cs="Arial"/>
                <w:noProof/>
                <w:webHidden/>
                <w:color w:val="000000" w:themeColor="text1"/>
                <w:sz w:val="24"/>
                <w:szCs w:val="24"/>
              </w:rPr>
              <w:t>8</w:t>
            </w:r>
            <w:r w:rsidR="00036885" w:rsidRPr="008C4AF3">
              <w:rPr>
                <w:rFonts w:ascii="Arial" w:hAnsi="Arial" w:cs="Arial"/>
                <w:noProof/>
                <w:webHidden/>
                <w:color w:val="000000" w:themeColor="text1"/>
                <w:sz w:val="24"/>
                <w:szCs w:val="24"/>
              </w:rPr>
              <w:fldChar w:fldCharType="end"/>
            </w:r>
          </w:hyperlink>
        </w:p>
        <w:p w14:paraId="514A616D" w14:textId="165C4E06" w:rsidR="00036885" w:rsidRPr="008C4AF3" w:rsidRDefault="008C4AF3" w:rsidP="00036885">
          <w:pPr>
            <w:pStyle w:val="TOC1"/>
            <w:tabs>
              <w:tab w:val="left" w:pos="426"/>
              <w:tab w:val="right" w:leader="dot" w:pos="9016"/>
            </w:tabs>
            <w:spacing w:line="360" w:lineRule="auto"/>
            <w:rPr>
              <w:rFonts w:ascii="Arial" w:hAnsi="Arial" w:cs="Arial"/>
              <w:noProof/>
              <w:color w:val="000000" w:themeColor="text1"/>
              <w:sz w:val="24"/>
              <w:szCs w:val="24"/>
              <w:lang w:eastAsia="en-GB"/>
            </w:rPr>
          </w:pPr>
          <w:hyperlink w:anchor="_Toc106795346" w:history="1">
            <w:r w:rsidR="00036885" w:rsidRPr="008C4AF3">
              <w:rPr>
                <w:rStyle w:val="Hyperlink"/>
                <w:rFonts w:ascii="Arial" w:hAnsi="Arial" w:cs="Arial"/>
                <w:noProof/>
                <w:color w:val="000000" w:themeColor="text1"/>
                <w:sz w:val="24"/>
                <w:szCs w:val="24"/>
              </w:rPr>
              <w:t>APPENDIX 1 - Equality Impact Assessment</w:t>
            </w:r>
            <w:r w:rsidR="00036885" w:rsidRPr="008C4AF3">
              <w:rPr>
                <w:rFonts w:ascii="Arial" w:hAnsi="Arial" w:cs="Arial"/>
                <w:noProof/>
                <w:webHidden/>
                <w:color w:val="000000" w:themeColor="text1"/>
                <w:sz w:val="24"/>
                <w:szCs w:val="24"/>
              </w:rPr>
              <w:tab/>
            </w:r>
            <w:r w:rsidR="00036885" w:rsidRPr="008C4AF3">
              <w:rPr>
                <w:rFonts w:ascii="Arial" w:hAnsi="Arial" w:cs="Arial"/>
                <w:noProof/>
                <w:webHidden/>
                <w:color w:val="000000" w:themeColor="text1"/>
                <w:sz w:val="24"/>
                <w:szCs w:val="24"/>
              </w:rPr>
              <w:fldChar w:fldCharType="begin"/>
            </w:r>
            <w:r w:rsidR="00036885" w:rsidRPr="008C4AF3">
              <w:rPr>
                <w:rFonts w:ascii="Arial" w:hAnsi="Arial" w:cs="Arial"/>
                <w:noProof/>
                <w:webHidden/>
                <w:color w:val="000000" w:themeColor="text1"/>
                <w:sz w:val="24"/>
                <w:szCs w:val="24"/>
              </w:rPr>
              <w:instrText xml:space="preserve"> PAGEREF _Toc106795346 \h </w:instrText>
            </w:r>
            <w:r w:rsidR="00036885" w:rsidRPr="008C4AF3">
              <w:rPr>
                <w:rFonts w:ascii="Arial" w:hAnsi="Arial" w:cs="Arial"/>
                <w:noProof/>
                <w:webHidden/>
                <w:color w:val="000000" w:themeColor="text1"/>
                <w:sz w:val="24"/>
                <w:szCs w:val="24"/>
              </w:rPr>
            </w:r>
            <w:r w:rsidR="00036885" w:rsidRPr="008C4AF3">
              <w:rPr>
                <w:rFonts w:ascii="Arial" w:hAnsi="Arial" w:cs="Arial"/>
                <w:noProof/>
                <w:webHidden/>
                <w:color w:val="000000" w:themeColor="text1"/>
                <w:sz w:val="24"/>
                <w:szCs w:val="24"/>
              </w:rPr>
              <w:fldChar w:fldCharType="separate"/>
            </w:r>
            <w:r w:rsidR="00036885" w:rsidRPr="008C4AF3">
              <w:rPr>
                <w:rFonts w:ascii="Arial" w:hAnsi="Arial" w:cs="Arial"/>
                <w:noProof/>
                <w:webHidden/>
                <w:color w:val="000000" w:themeColor="text1"/>
                <w:sz w:val="24"/>
                <w:szCs w:val="24"/>
              </w:rPr>
              <w:t>9</w:t>
            </w:r>
            <w:r w:rsidR="00036885" w:rsidRPr="008C4AF3">
              <w:rPr>
                <w:rFonts w:ascii="Arial" w:hAnsi="Arial" w:cs="Arial"/>
                <w:noProof/>
                <w:webHidden/>
                <w:color w:val="000000" w:themeColor="text1"/>
                <w:sz w:val="24"/>
                <w:szCs w:val="24"/>
              </w:rPr>
              <w:fldChar w:fldCharType="end"/>
            </w:r>
          </w:hyperlink>
        </w:p>
        <w:p w14:paraId="6F0E3302" w14:textId="2D886A6A" w:rsidR="00036885" w:rsidRPr="008C4AF3" w:rsidRDefault="00036885" w:rsidP="00036885">
          <w:pPr>
            <w:tabs>
              <w:tab w:val="left" w:pos="426"/>
            </w:tabs>
            <w:spacing w:after="0" w:line="360" w:lineRule="auto"/>
            <w:rPr>
              <w:color w:val="000000" w:themeColor="text1"/>
            </w:rPr>
          </w:pPr>
          <w:r w:rsidRPr="008C4AF3">
            <w:rPr>
              <w:rFonts w:ascii="Arial" w:hAnsi="Arial" w:cs="Arial"/>
              <w:noProof/>
              <w:color w:val="000000" w:themeColor="text1"/>
              <w:sz w:val="24"/>
              <w:szCs w:val="24"/>
            </w:rPr>
            <w:fldChar w:fldCharType="end"/>
          </w:r>
        </w:p>
      </w:sdtContent>
    </w:sdt>
    <w:p w14:paraId="32982BB8" w14:textId="76D9FFE3" w:rsidR="00036885" w:rsidRPr="008C4AF3" w:rsidRDefault="00036885" w:rsidP="00036885">
      <w:pPr>
        <w:spacing w:after="0" w:line="240" w:lineRule="auto"/>
        <w:rPr>
          <w:rFonts w:ascii="Arial" w:hAnsi="Arial" w:cs="Arial"/>
          <w:color w:val="000000" w:themeColor="text1"/>
          <w:sz w:val="24"/>
          <w:szCs w:val="24"/>
        </w:rPr>
      </w:pPr>
      <w:r w:rsidRPr="008C4AF3">
        <w:rPr>
          <w:rFonts w:ascii="Arial" w:hAnsi="Arial" w:cs="Arial"/>
          <w:color w:val="000000" w:themeColor="text1"/>
          <w:sz w:val="24"/>
          <w:szCs w:val="24"/>
        </w:rPr>
        <w:br w:type="page"/>
      </w:r>
    </w:p>
    <w:p w14:paraId="4219CE7A" w14:textId="23E96495" w:rsidR="00CB2E0B" w:rsidRPr="008C4AF3" w:rsidRDefault="00CB2E0B" w:rsidP="00036885">
      <w:pPr>
        <w:pStyle w:val="Heading1"/>
        <w:numPr>
          <w:ilvl w:val="0"/>
          <w:numId w:val="58"/>
        </w:numPr>
        <w:spacing w:before="0" w:after="0"/>
        <w:ind w:hanging="720"/>
        <w:rPr>
          <w:rFonts w:ascii="Arial" w:hAnsi="Arial" w:cs="Arial"/>
          <w:color w:val="000000" w:themeColor="text1"/>
          <w:sz w:val="28"/>
          <w:szCs w:val="28"/>
        </w:rPr>
      </w:pPr>
      <w:bookmarkStart w:id="2" w:name="_Toc106795336"/>
      <w:r w:rsidRPr="008C4AF3">
        <w:rPr>
          <w:rFonts w:ascii="Arial" w:hAnsi="Arial" w:cs="Arial"/>
          <w:b/>
          <w:bCs/>
          <w:color w:val="000000" w:themeColor="text1"/>
          <w:sz w:val="28"/>
          <w:szCs w:val="28"/>
        </w:rPr>
        <w:lastRenderedPageBreak/>
        <w:t>POLICY</w:t>
      </w:r>
      <w:r w:rsidRPr="008C4AF3">
        <w:rPr>
          <w:rFonts w:ascii="Arial" w:hAnsi="Arial" w:cs="Arial"/>
          <w:b/>
          <w:bCs/>
          <w:color w:val="000000" w:themeColor="text1"/>
          <w:spacing w:val="-5"/>
          <w:sz w:val="28"/>
          <w:szCs w:val="28"/>
        </w:rPr>
        <w:t xml:space="preserve"> </w:t>
      </w:r>
      <w:r w:rsidRPr="008C4AF3">
        <w:rPr>
          <w:rFonts w:ascii="Arial" w:hAnsi="Arial" w:cs="Arial"/>
          <w:b/>
          <w:bCs/>
          <w:color w:val="000000" w:themeColor="text1"/>
          <w:sz w:val="28"/>
          <w:szCs w:val="28"/>
        </w:rPr>
        <w:t>S</w:t>
      </w:r>
      <w:r w:rsidRPr="008C4AF3">
        <w:rPr>
          <w:rFonts w:ascii="Arial" w:hAnsi="Arial" w:cs="Arial"/>
          <w:b/>
          <w:bCs/>
          <w:color w:val="000000" w:themeColor="text1"/>
          <w:spacing w:val="1"/>
          <w:sz w:val="28"/>
          <w:szCs w:val="28"/>
        </w:rPr>
        <w:t>T</w:t>
      </w:r>
      <w:r w:rsidRPr="008C4AF3">
        <w:rPr>
          <w:rFonts w:ascii="Arial" w:hAnsi="Arial" w:cs="Arial"/>
          <w:b/>
          <w:bCs/>
          <w:color w:val="000000" w:themeColor="text1"/>
          <w:sz w:val="28"/>
          <w:szCs w:val="28"/>
        </w:rPr>
        <w:t>ATEMENT</w:t>
      </w:r>
      <w:bookmarkEnd w:id="2"/>
    </w:p>
    <w:p w14:paraId="7312FDA0" w14:textId="77777777" w:rsidR="00CB2E0B" w:rsidRPr="008C4AF3" w:rsidRDefault="00CB2E0B" w:rsidP="00036885">
      <w:pPr>
        <w:tabs>
          <w:tab w:val="left" w:pos="709"/>
        </w:tabs>
        <w:spacing w:after="0" w:line="240" w:lineRule="auto"/>
        <w:jc w:val="both"/>
        <w:rPr>
          <w:rFonts w:ascii="Arial" w:hAnsi="Arial" w:cs="Arial"/>
          <w:color w:val="000000" w:themeColor="text1"/>
          <w:sz w:val="24"/>
          <w:szCs w:val="24"/>
        </w:rPr>
      </w:pPr>
    </w:p>
    <w:p w14:paraId="3A98E520" w14:textId="329230DA" w:rsidR="00CB2E0B" w:rsidRPr="008C4AF3" w:rsidRDefault="00CB2E0B" w:rsidP="00036885">
      <w:pPr>
        <w:widowControl w:val="0"/>
        <w:numPr>
          <w:ilvl w:val="1"/>
          <w:numId w:val="53"/>
        </w:numPr>
        <w:tabs>
          <w:tab w:val="left" w:pos="709"/>
        </w:tabs>
        <w:autoSpaceDE w:val="0"/>
        <w:autoSpaceDN w:val="0"/>
        <w:adjustRightInd w:val="0"/>
        <w:spacing w:after="0" w:line="240" w:lineRule="auto"/>
        <w:ind w:left="709" w:hanging="709"/>
        <w:jc w:val="both"/>
        <w:rPr>
          <w:rFonts w:ascii="Arial" w:hAnsi="Arial" w:cs="Arial"/>
          <w:color w:val="000000" w:themeColor="text1"/>
          <w:sz w:val="24"/>
          <w:szCs w:val="24"/>
        </w:rPr>
      </w:pPr>
      <w:r w:rsidRPr="008C4AF3">
        <w:rPr>
          <w:rFonts w:ascii="Arial" w:hAnsi="Arial" w:cs="Arial"/>
          <w:color w:val="000000" w:themeColor="text1"/>
          <w:sz w:val="24"/>
          <w:szCs w:val="24"/>
        </w:rPr>
        <w:t xml:space="preserve">The </w:t>
      </w:r>
      <w:r w:rsidR="00431C0B" w:rsidRPr="008C4AF3">
        <w:rPr>
          <w:rFonts w:ascii="Arial" w:hAnsi="Arial" w:cs="Arial"/>
          <w:color w:val="000000" w:themeColor="text1"/>
          <w:sz w:val="24"/>
          <w:szCs w:val="24"/>
        </w:rPr>
        <w:t>North East and North Cumbria (the O</w:t>
      </w:r>
      <w:r w:rsidRPr="008C4AF3">
        <w:rPr>
          <w:rFonts w:ascii="Arial" w:hAnsi="Arial" w:cs="Arial"/>
          <w:color w:val="000000" w:themeColor="text1"/>
          <w:sz w:val="24"/>
          <w:szCs w:val="24"/>
        </w:rPr>
        <w:t>rganisation</w:t>
      </w:r>
      <w:r w:rsidR="00431C0B" w:rsidRPr="008C4AF3">
        <w:rPr>
          <w:rFonts w:ascii="Arial" w:hAnsi="Arial" w:cs="Arial"/>
          <w:color w:val="000000" w:themeColor="text1"/>
          <w:sz w:val="24"/>
          <w:szCs w:val="24"/>
        </w:rPr>
        <w:t>)</w:t>
      </w:r>
      <w:r w:rsidRPr="008C4AF3">
        <w:rPr>
          <w:rFonts w:ascii="Arial" w:hAnsi="Arial" w:cs="Arial"/>
          <w:color w:val="000000" w:themeColor="text1"/>
          <w:sz w:val="24"/>
          <w:szCs w:val="24"/>
        </w:rPr>
        <w:t xml:space="preserve"> recognises that in order to recruit the most appropriate staff it may be necessary to offer assistance with the costs of relocating in order to optimise the prospect of successful settlement into the employee’s new appointment. </w:t>
      </w:r>
    </w:p>
    <w:p w14:paraId="169ADC29" w14:textId="77777777" w:rsidR="00CB2E0B" w:rsidRPr="008C4AF3" w:rsidRDefault="00CB2E0B" w:rsidP="00036885">
      <w:pPr>
        <w:pStyle w:val="Default"/>
        <w:tabs>
          <w:tab w:val="left" w:pos="709"/>
        </w:tabs>
        <w:jc w:val="both"/>
        <w:rPr>
          <w:color w:val="000000" w:themeColor="text1"/>
        </w:rPr>
      </w:pPr>
    </w:p>
    <w:p w14:paraId="4DFCDB13" w14:textId="7371960B" w:rsidR="00CB2E0B" w:rsidRPr="008C4AF3" w:rsidRDefault="00CB2E0B" w:rsidP="00036885">
      <w:pPr>
        <w:widowControl w:val="0"/>
        <w:numPr>
          <w:ilvl w:val="1"/>
          <w:numId w:val="53"/>
        </w:numPr>
        <w:tabs>
          <w:tab w:val="left" w:pos="709"/>
        </w:tabs>
        <w:autoSpaceDE w:val="0"/>
        <w:autoSpaceDN w:val="0"/>
        <w:adjustRightInd w:val="0"/>
        <w:spacing w:after="0" w:line="240" w:lineRule="auto"/>
        <w:ind w:left="709" w:hanging="709"/>
        <w:jc w:val="both"/>
        <w:rPr>
          <w:rFonts w:ascii="Arial" w:hAnsi="Arial" w:cs="Arial"/>
          <w:color w:val="000000" w:themeColor="text1"/>
          <w:sz w:val="24"/>
          <w:szCs w:val="24"/>
        </w:rPr>
      </w:pPr>
      <w:r w:rsidRPr="008C4AF3">
        <w:rPr>
          <w:rFonts w:ascii="Arial" w:hAnsi="Arial" w:cs="Arial"/>
          <w:color w:val="000000" w:themeColor="text1"/>
          <w:sz w:val="24"/>
          <w:szCs w:val="24"/>
        </w:rPr>
        <w:t>This policy sets out the organisation’s provisions regarding relocation expenses and aims to assist the organisation to recruit staff as an employer of choice.</w:t>
      </w:r>
    </w:p>
    <w:p w14:paraId="786D3AFF" w14:textId="77777777" w:rsidR="00CB2E0B" w:rsidRPr="008C4AF3" w:rsidRDefault="00CB2E0B" w:rsidP="00036885">
      <w:pPr>
        <w:spacing w:after="0" w:line="240" w:lineRule="auto"/>
        <w:jc w:val="both"/>
        <w:rPr>
          <w:rFonts w:ascii="Arial" w:hAnsi="Arial" w:cs="Arial"/>
          <w:color w:val="000000" w:themeColor="text1"/>
          <w:sz w:val="24"/>
          <w:szCs w:val="24"/>
        </w:rPr>
      </w:pPr>
    </w:p>
    <w:p w14:paraId="117D3356" w14:textId="77777777" w:rsidR="00CB2E0B" w:rsidRPr="008C4AF3" w:rsidRDefault="00CB2E0B" w:rsidP="00036885">
      <w:pPr>
        <w:pStyle w:val="Heading1"/>
        <w:spacing w:before="0" w:after="0"/>
        <w:rPr>
          <w:rFonts w:ascii="Arial" w:hAnsi="Arial" w:cs="Arial"/>
          <w:color w:val="000000" w:themeColor="text1"/>
          <w:sz w:val="28"/>
          <w:szCs w:val="28"/>
        </w:rPr>
      </w:pPr>
      <w:bookmarkStart w:id="3" w:name="_Toc106795337"/>
      <w:r w:rsidRPr="008C4AF3">
        <w:rPr>
          <w:rFonts w:ascii="Arial" w:hAnsi="Arial" w:cs="Arial"/>
          <w:b/>
          <w:bCs/>
          <w:color w:val="000000" w:themeColor="text1"/>
          <w:sz w:val="28"/>
          <w:szCs w:val="28"/>
        </w:rPr>
        <w:t>2.</w:t>
      </w:r>
      <w:r w:rsidRPr="008C4AF3">
        <w:rPr>
          <w:rFonts w:ascii="Arial" w:hAnsi="Arial" w:cs="Arial"/>
          <w:b/>
          <w:bCs/>
          <w:color w:val="000000" w:themeColor="text1"/>
          <w:sz w:val="28"/>
          <w:szCs w:val="28"/>
        </w:rPr>
        <w:tab/>
        <w:t>PRINC</w:t>
      </w:r>
      <w:r w:rsidRPr="008C4AF3">
        <w:rPr>
          <w:rFonts w:ascii="Arial" w:hAnsi="Arial" w:cs="Arial"/>
          <w:b/>
          <w:bCs/>
          <w:color w:val="000000" w:themeColor="text1"/>
          <w:spacing w:val="1"/>
          <w:sz w:val="28"/>
          <w:szCs w:val="28"/>
        </w:rPr>
        <w:t>I</w:t>
      </w:r>
      <w:r w:rsidRPr="008C4AF3">
        <w:rPr>
          <w:rFonts w:ascii="Arial" w:hAnsi="Arial" w:cs="Arial"/>
          <w:b/>
          <w:bCs/>
          <w:color w:val="000000" w:themeColor="text1"/>
          <w:sz w:val="28"/>
          <w:szCs w:val="28"/>
        </w:rPr>
        <w:t>PL</w:t>
      </w:r>
      <w:r w:rsidRPr="008C4AF3">
        <w:rPr>
          <w:rFonts w:ascii="Arial" w:hAnsi="Arial" w:cs="Arial"/>
          <w:b/>
          <w:bCs/>
          <w:color w:val="000000" w:themeColor="text1"/>
          <w:spacing w:val="1"/>
          <w:sz w:val="28"/>
          <w:szCs w:val="28"/>
        </w:rPr>
        <w:t>E</w:t>
      </w:r>
      <w:r w:rsidRPr="008C4AF3">
        <w:rPr>
          <w:rFonts w:ascii="Arial" w:hAnsi="Arial" w:cs="Arial"/>
          <w:b/>
          <w:bCs/>
          <w:color w:val="000000" w:themeColor="text1"/>
          <w:sz w:val="28"/>
          <w:szCs w:val="28"/>
        </w:rPr>
        <w:t>S</w:t>
      </w:r>
      <w:bookmarkEnd w:id="3"/>
    </w:p>
    <w:p w14:paraId="0B2736E6" w14:textId="77777777" w:rsidR="00CB2E0B" w:rsidRPr="008C4AF3" w:rsidRDefault="00CB2E0B" w:rsidP="00036885">
      <w:pPr>
        <w:spacing w:after="0" w:line="240" w:lineRule="auto"/>
        <w:jc w:val="both"/>
        <w:rPr>
          <w:rFonts w:ascii="Arial" w:hAnsi="Arial" w:cs="Arial"/>
          <w:color w:val="000000" w:themeColor="text1"/>
          <w:sz w:val="24"/>
          <w:szCs w:val="24"/>
        </w:rPr>
      </w:pPr>
    </w:p>
    <w:p w14:paraId="7A71C20F" w14:textId="059C8A76" w:rsidR="00CB2E0B" w:rsidRPr="008C4AF3" w:rsidRDefault="00CB2E0B" w:rsidP="00036885">
      <w:pPr>
        <w:spacing w:after="0" w:line="240" w:lineRule="auto"/>
        <w:ind w:left="720" w:hanging="720"/>
        <w:jc w:val="both"/>
        <w:rPr>
          <w:rFonts w:ascii="Arial" w:hAnsi="Arial" w:cs="Arial"/>
          <w:color w:val="000000" w:themeColor="text1"/>
          <w:sz w:val="24"/>
          <w:szCs w:val="24"/>
        </w:rPr>
      </w:pPr>
      <w:r w:rsidRPr="008C4AF3">
        <w:rPr>
          <w:rFonts w:ascii="Arial" w:hAnsi="Arial" w:cs="Arial"/>
          <w:color w:val="000000" w:themeColor="text1"/>
          <w:sz w:val="24"/>
          <w:szCs w:val="24"/>
        </w:rPr>
        <w:t>2.1</w:t>
      </w:r>
      <w:r w:rsidRPr="008C4AF3">
        <w:rPr>
          <w:rFonts w:ascii="Arial" w:hAnsi="Arial" w:cs="Arial"/>
          <w:color w:val="000000" w:themeColor="text1"/>
          <w:sz w:val="24"/>
          <w:szCs w:val="24"/>
        </w:rPr>
        <w:tab/>
        <w:t>The policy will apply to employees of the organisation who take up a new appointment with the organisation from outside the organisation and for whom the organisation is their primary employment. Temporary, fixed term and bank staff are specifically excluded.</w:t>
      </w:r>
    </w:p>
    <w:p w14:paraId="792EB59A" w14:textId="77777777" w:rsidR="00CB2E0B" w:rsidRPr="008C4AF3" w:rsidRDefault="00CB2E0B" w:rsidP="00036885">
      <w:pPr>
        <w:pStyle w:val="Default"/>
        <w:ind w:left="709" w:hanging="709"/>
        <w:rPr>
          <w:color w:val="000000" w:themeColor="text1"/>
        </w:rPr>
      </w:pPr>
    </w:p>
    <w:p w14:paraId="0FF9D467" w14:textId="75AF8A06" w:rsidR="00CB2E0B" w:rsidRPr="008C4AF3" w:rsidRDefault="00CB2E0B" w:rsidP="00036885">
      <w:pPr>
        <w:pStyle w:val="Default"/>
        <w:ind w:left="709" w:hanging="709"/>
        <w:rPr>
          <w:color w:val="000000" w:themeColor="text1"/>
        </w:rPr>
      </w:pPr>
      <w:r w:rsidRPr="008C4AF3">
        <w:rPr>
          <w:color w:val="000000" w:themeColor="text1"/>
        </w:rPr>
        <w:t>2.2</w:t>
      </w:r>
      <w:r w:rsidRPr="008C4AF3">
        <w:rPr>
          <w:color w:val="000000" w:themeColor="text1"/>
        </w:rPr>
        <w:tab/>
        <w:t xml:space="preserve">Relocation expenses will be judged on a case by case basis and each employee’s situation and circumstances will be unique. The organisation therefore retains discretion to tailor the relocation package to suit the particular circumstances and needs of each employee. However the organisation will always act fairly and in a non-discriminatory manner. The </w:t>
      </w:r>
      <w:r w:rsidR="008C4AF3" w:rsidRPr="008C4AF3">
        <w:rPr>
          <w:color w:val="000000" w:themeColor="text1"/>
        </w:rPr>
        <w:t>Executive Board</w:t>
      </w:r>
      <w:r w:rsidRPr="008C4AF3">
        <w:rPr>
          <w:color w:val="000000" w:themeColor="text1"/>
        </w:rPr>
        <w:t xml:space="preserve">, or where appropriate the </w:t>
      </w:r>
      <w:r w:rsidR="008C4AF3" w:rsidRPr="008C4AF3">
        <w:rPr>
          <w:color w:val="000000" w:themeColor="text1"/>
        </w:rPr>
        <w:t xml:space="preserve">ICB </w:t>
      </w:r>
      <w:r w:rsidRPr="008C4AF3">
        <w:rPr>
          <w:color w:val="000000" w:themeColor="text1"/>
        </w:rPr>
        <w:t>Remuneration Committee, has the exclusive authority to authorise relocation expenses out with of the criteria set down in this policy.</w:t>
      </w:r>
    </w:p>
    <w:p w14:paraId="7E5625D7" w14:textId="77777777" w:rsidR="00CB2E0B" w:rsidRPr="008C4AF3" w:rsidRDefault="00CB2E0B" w:rsidP="00036885">
      <w:pPr>
        <w:pStyle w:val="Default"/>
        <w:ind w:left="709" w:hanging="709"/>
        <w:rPr>
          <w:color w:val="000000" w:themeColor="text1"/>
        </w:rPr>
      </w:pPr>
    </w:p>
    <w:p w14:paraId="49F6B2AC" w14:textId="0B4E35C4" w:rsidR="00CB2E0B" w:rsidRPr="008C4AF3" w:rsidRDefault="00CB2E0B" w:rsidP="00036885">
      <w:pPr>
        <w:pStyle w:val="Default"/>
        <w:ind w:left="709" w:hanging="709"/>
        <w:rPr>
          <w:color w:val="000000" w:themeColor="text1"/>
        </w:rPr>
      </w:pPr>
      <w:r w:rsidRPr="008C4AF3">
        <w:rPr>
          <w:color w:val="000000" w:themeColor="text1"/>
        </w:rPr>
        <w:t>2.3</w:t>
      </w:r>
      <w:r w:rsidRPr="008C4AF3">
        <w:rPr>
          <w:color w:val="000000" w:themeColor="text1"/>
        </w:rPr>
        <w:tab/>
        <w:t xml:space="preserve">The organisation’s Remuneration Committee will be required to consider claims for relocation expenses for certain roles, for example Very Senior Managers and </w:t>
      </w:r>
      <w:r w:rsidR="008C4AF3" w:rsidRPr="008C4AF3">
        <w:rPr>
          <w:color w:val="000000" w:themeColor="text1"/>
        </w:rPr>
        <w:t>Board Members.</w:t>
      </w:r>
    </w:p>
    <w:p w14:paraId="18315D35" w14:textId="77777777" w:rsidR="00CB2E0B" w:rsidRPr="008C4AF3" w:rsidRDefault="00CB2E0B" w:rsidP="00036885">
      <w:pPr>
        <w:pStyle w:val="Default"/>
        <w:rPr>
          <w:color w:val="000000" w:themeColor="text1"/>
        </w:rPr>
      </w:pPr>
    </w:p>
    <w:p w14:paraId="38D1833C" w14:textId="2D50AFA5" w:rsidR="00CB2E0B" w:rsidRPr="008C4AF3" w:rsidRDefault="00CB2E0B" w:rsidP="00036885">
      <w:pPr>
        <w:pStyle w:val="Default"/>
        <w:ind w:left="709" w:hanging="709"/>
        <w:rPr>
          <w:color w:val="000000" w:themeColor="text1"/>
        </w:rPr>
      </w:pPr>
      <w:r w:rsidRPr="008C4AF3">
        <w:rPr>
          <w:color w:val="000000" w:themeColor="text1"/>
        </w:rPr>
        <w:t>2.4</w:t>
      </w:r>
      <w:r w:rsidRPr="008C4AF3">
        <w:rPr>
          <w:color w:val="000000" w:themeColor="text1"/>
        </w:rPr>
        <w:tab/>
        <w:t>Assistance will not be given to an employee who is already living or planning to move within a reasonable distance of their work base, or if the move is not as a direct consequence of taking up employment with the organisation.</w:t>
      </w:r>
    </w:p>
    <w:p w14:paraId="58A46B7D" w14:textId="77777777" w:rsidR="00CB2E0B" w:rsidRPr="008C4AF3" w:rsidRDefault="00CB2E0B" w:rsidP="00036885">
      <w:pPr>
        <w:pStyle w:val="Default"/>
        <w:ind w:left="709" w:hanging="709"/>
        <w:rPr>
          <w:color w:val="000000" w:themeColor="text1"/>
        </w:rPr>
      </w:pPr>
    </w:p>
    <w:p w14:paraId="36BC7A52" w14:textId="77777777" w:rsidR="00CB2E0B" w:rsidRPr="008C4AF3" w:rsidRDefault="00CB2E0B" w:rsidP="00036885">
      <w:pPr>
        <w:pStyle w:val="Default"/>
        <w:ind w:left="709" w:hanging="709"/>
        <w:rPr>
          <w:color w:val="000000" w:themeColor="text1"/>
        </w:rPr>
      </w:pPr>
      <w:r w:rsidRPr="008C4AF3">
        <w:rPr>
          <w:color w:val="000000" w:themeColor="text1"/>
        </w:rPr>
        <w:t>2.5</w:t>
      </w:r>
      <w:r w:rsidRPr="008C4AF3">
        <w:rPr>
          <w:color w:val="000000" w:themeColor="text1"/>
        </w:rPr>
        <w:tab/>
        <w:t>Only one claim per household will be considered. Employees will not be eligible for reimbursement of relocation expenses if their spouse/partner is in receipt of, or claiming, relocation expenses from any source.</w:t>
      </w:r>
    </w:p>
    <w:p w14:paraId="77AD6272" w14:textId="77777777" w:rsidR="00CB2E0B" w:rsidRPr="008C4AF3" w:rsidRDefault="00CB2E0B" w:rsidP="00036885">
      <w:pPr>
        <w:pStyle w:val="Default"/>
        <w:ind w:left="709" w:hanging="709"/>
        <w:rPr>
          <w:color w:val="000000" w:themeColor="text1"/>
        </w:rPr>
      </w:pPr>
    </w:p>
    <w:p w14:paraId="51A69444" w14:textId="4F4C43F2" w:rsidR="00CB2E0B" w:rsidRPr="008C4AF3" w:rsidRDefault="00CB2E0B" w:rsidP="00036885">
      <w:pPr>
        <w:pStyle w:val="Default"/>
        <w:ind w:left="709" w:hanging="709"/>
        <w:rPr>
          <w:color w:val="000000" w:themeColor="text1"/>
        </w:rPr>
      </w:pPr>
      <w:r w:rsidRPr="008C4AF3">
        <w:rPr>
          <w:color w:val="000000" w:themeColor="text1"/>
        </w:rPr>
        <w:t>2.6</w:t>
      </w:r>
      <w:r w:rsidRPr="008C4AF3">
        <w:rPr>
          <w:color w:val="000000" w:themeColor="text1"/>
        </w:rPr>
        <w:tab/>
        <w:t>Relocation assistance is discretionary. It is not a contractual entitlement and the organisation reserves the right to withdraw it at any time.</w:t>
      </w:r>
    </w:p>
    <w:p w14:paraId="7E92E16C" w14:textId="77777777" w:rsidR="00CB2E0B" w:rsidRPr="008C4AF3" w:rsidRDefault="00CB2E0B" w:rsidP="00036885">
      <w:pPr>
        <w:pStyle w:val="Default"/>
        <w:ind w:left="709" w:hanging="709"/>
        <w:rPr>
          <w:color w:val="000000" w:themeColor="text1"/>
        </w:rPr>
      </w:pPr>
    </w:p>
    <w:p w14:paraId="63DEDB93" w14:textId="77777777" w:rsidR="00CB2E0B" w:rsidRPr="008C4AF3" w:rsidRDefault="00CB2E0B" w:rsidP="00036885">
      <w:pPr>
        <w:pStyle w:val="Default"/>
        <w:ind w:left="709" w:hanging="709"/>
        <w:rPr>
          <w:color w:val="000000" w:themeColor="text1"/>
        </w:rPr>
      </w:pPr>
      <w:r w:rsidRPr="008C4AF3">
        <w:rPr>
          <w:color w:val="000000" w:themeColor="text1"/>
        </w:rPr>
        <w:t>2.7</w:t>
      </w:r>
      <w:r w:rsidRPr="008C4AF3">
        <w:rPr>
          <w:color w:val="000000" w:themeColor="text1"/>
        </w:rPr>
        <w:tab/>
        <w:t>All offers of relocation are subject to HM Revenue &amp; Customs regulations.</w:t>
      </w:r>
    </w:p>
    <w:p w14:paraId="779A939B" w14:textId="77777777" w:rsidR="00CB2E0B" w:rsidRPr="008C4AF3" w:rsidRDefault="00CB2E0B" w:rsidP="00036885">
      <w:pPr>
        <w:pStyle w:val="Default"/>
        <w:ind w:left="709" w:hanging="709"/>
        <w:rPr>
          <w:color w:val="000000" w:themeColor="text1"/>
        </w:rPr>
      </w:pPr>
    </w:p>
    <w:p w14:paraId="001D8F28" w14:textId="5604BC29" w:rsidR="00CB2E0B" w:rsidRPr="008C4AF3" w:rsidRDefault="00CB2E0B" w:rsidP="00036885">
      <w:pPr>
        <w:pStyle w:val="Default"/>
        <w:ind w:left="709" w:hanging="709"/>
        <w:rPr>
          <w:color w:val="000000" w:themeColor="text1"/>
        </w:rPr>
      </w:pPr>
      <w:r w:rsidRPr="008C4AF3">
        <w:rPr>
          <w:color w:val="000000" w:themeColor="text1"/>
        </w:rPr>
        <w:t>2.8</w:t>
      </w:r>
      <w:r w:rsidRPr="008C4AF3">
        <w:rPr>
          <w:color w:val="000000" w:themeColor="text1"/>
        </w:rPr>
        <w:tab/>
        <w:t>The organisation will reimburse legitimate claims that meet the criteria outlined in this policy. Any claims found to have been falsified or inflated in anyway will be referred to the organisation’s Local Counter Fraud Specialist / NHS Protect. Abuse of the policy will be investigated and may result in disciplinary action.</w:t>
      </w:r>
    </w:p>
    <w:p w14:paraId="0EB34F4F" w14:textId="77777777" w:rsidR="00036885" w:rsidRPr="008C4AF3" w:rsidRDefault="00036885" w:rsidP="00036885">
      <w:pPr>
        <w:pStyle w:val="Default"/>
        <w:ind w:left="709" w:hanging="709"/>
        <w:rPr>
          <w:color w:val="000000" w:themeColor="text1"/>
        </w:rPr>
      </w:pPr>
    </w:p>
    <w:p w14:paraId="046FAA28" w14:textId="7E2996DC" w:rsidR="00CB2E0B" w:rsidRPr="008C4AF3" w:rsidRDefault="00036885" w:rsidP="00036885">
      <w:pPr>
        <w:pStyle w:val="Heading1"/>
        <w:spacing w:before="0" w:after="0"/>
        <w:rPr>
          <w:rFonts w:ascii="Arial" w:hAnsi="Arial" w:cs="Arial"/>
          <w:b/>
          <w:color w:val="000000" w:themeColor="text1"/>
          <w:sz w:val="28"/>
          <w:szCs w:val="28"/>
        </w:rPr>
      </w:pPr>
      <w:bookmarkStart w:id="4" w:name="_Toc106795338"/>
      <w:r w:rsidRPr="008C4AF3">
        <w:rPr>
          <w:rFonts w:ascii="Arial" w:hAnsi="Arial" w:cs="Arial"/>
          <w:b/>
          <w:color w:val="000000" w:themeColor="text1"/>
          <w:sz w:val="28"/>
          <w:szCs w:val="28"/>
        </w:rPr>
        <w:lastRenderedPageBreak/>
        <w:t>3.</w:t>
      </w:r>
      <w:r w:rsidR="00CB2E0B" w:rsidRPr="008C4AF3">
        <w:rPr>
          <w:rFonts w:ascii="Arial" w:hAnsi="Arial" w:cs="Arial"/>
          <w:b/>
          <w:color w:val="000000" w:themeColor="text1"/>
          <w:sz w:val="28"/>
          <w:szCs w:val="28"/>
        </w:rPr>
        <w:tab/>
        <w:t>ELIGIBILITY CRITERIA</w:t>
      </w:r>
      <w:bookmarkEnd w:id="4"/>
    </w:p>
    <w:p w14:paraId="1C8D82DD" w14:textId="77777777" w:rsidR="00036885" w:rsidRPr="008C4AF3" w:rsidRDefault="00036885" w:rsidP="00036885">
      <w:pPr>
        <w:spacing w:after="0" w:line="240" w:lineRule="auto"/>
        <w:rPr>
          <w:color w:val="000000" w:themeColor="text1"/>
        </w:rPr>
      </w:pPr>
    </w:p>
    <w:p w14:paraId="76C3414E" w14:textId="2DC11D49" w:rsidR="00CB2E0B" w:rsidRPr="008C4AF3" w:rsidRDefault="00036885" w:rsidP="00036885">
      <w:pPr>
        <w:pStyle w:val="Default"/>
        <w:ind w:left="709" w:hanging="709"/>
        <w:rPr>
          <w:color w:val="000000" w:themeColor="text1"/>
        </w:rPr>
      </w:pPr>
      <w:r w:rsidRPr="008C4AF3">
        <w:rPr>
          <w:color w:val="000000" w:themeColor="text1"/>
        </w:rPr>
        <w:t>3</w:t>
      </w:r>
      <w:r w:rsidR="00CB2E0B" w:rsidRPr="008C4AF3">
        <w:rPr>
          <w:color w:val="000000" w:themeColor="text1"/>
        </w:rPr>
        <w:t>.1</w:t>
      </w:r>
      <w:r w:rsidR="00CB2E0B" w:rsidRPr="008C4AF3">
        <w:rPr>
          <w:color w:val="000000" w:themeColor="text1"/>
        </w:rPr>
        <w:tab/>
        <w:t>The following eligibility criteria will apply:</w:t>
      </w:r>
    </w:p>
    <w:p w14:paraId="3BAD4094" w14:textId="77777777" w:rsidR="00CB2E0B" w:rsidRPr="008C4AF3" w:rsidRDefault="00CB2E0B" w:rsidP="00036885">
      <w:pPr>
        <w:pStyle w:val="Default"/>
        <w:ind w:left="709" w:hanging="709"/>
        <w:rPr>
          <w:color w:val="000000" w:themeColor="text1"/>
        </w:rPr>
      </w:pPr>
    </w:p>
    <w:p w14:paraId="00932F55" w14:textId="6D4558D0" w:rsidR="00CB2E0B" w:rsidRPr="008C4AF3" w:rsidRDefault="00CB2E0B" w:rsidP="00036885">
      <w:pPr>
        <w:pStyle w:val="Default"/>
        <w:numPr>
          <w:ilvl w:val="0"/>
          <w:numId w:val="54"/>
        </w:numPr>
        <w:ind w:left="1418" w:hanging="709"/>
        <w:rPr>
          <w:color w:val="000000" w:themeColor="text1"/>
        </w:rPr>
      </w:pPr>
      <w:r w:rsidRPr="008C4AF3">
        <w:rPr>
          <w:color w:val="000000" w:themeColor="text1"/>
        </w:rPr>
        <w:t>The role must be deemed by the organisation to be eligible for relocation expenses to be paid.</w:t>
      </w:r>
    </w:p>
    <w:p w14:paraId="298B80E2" w14:textId="77777777" w:rsidR="00CB2E0B" w:rsidRPr="008C4AF3" w:rsidRDefault="00CB2E0B" w:rsidP="00036885">
      <w:pPr>
        <w:pStyle w:val="Default"/>
        <w:numPr>
          <w:ilvl w:val="0"/>
          <w:numId w:val="54"/>
        </w:numPr>
        <w:ind w:left="1418" w:hanging="709"/>
        <w:rPr>
          <w:color w:val="000000" w:themeColor="text1"/>
        </w:rPr>
      </w:pPr>
      <w:r w:rsidRPr="008C4AF3">
        <w:rPr>
          <w:color w:val="000000" w:themeColor="text1"/>
        </w:rPr>
        <w:t>For the appointed candidate the proposed place of residence must be within reasonable travel distance of the work base and enable work commitments to be met.</w:t>
      </w:r>
    </w:p>
    <w:p w14:paraId="67DC2FFF" w14:textId="77777777" w:rsidR="00CB2E0B" w:rsidRPr="008C4AF3" w:rsidRDefault="00CB2E0B" w:rsidP="00036885">
      <w:pPr>
        <w:pStyle w:val="Default"/>
        <w:numPr>
          <w:ilvl w:val="0"/>
          <w:numId w:val="54"/>
        </w:numPr>
        <w:ind w:left="1418" w:hanging="709"/>
        <w:rPr>
          <w:color w:val="000000" w:themeColor="text1"/>
        </w:rPr>
      </w:pPr>
      <w:r w:rsidRPr="008C4AF3">
        <w:rPr>
          <w:color w:val="000000" w:themeColor="text1"/>
        </w:rPr>
        <w:t>The proposed arrangements must be reasonable.</w:t>
      </w:r>
    </w:p>
    <w:p w14:paraId="052A4370" w14:textId="77777777" w:rsidR="00CB2E0B" w:rsidRPr="008C4AF3" w:rsidRDefault="00CB2E0B" w:rsidP="00036885">
      <w:pPr>
        <w:pStyle w:val="Default"/>
        <w:numPr>
          <w:ilvl w:val="0"/>
          <w:numId w:val="54"/>
        </w:numPr>
        <w:ind w:left="1418" w:hanging="709"/>
        <w:rPr>
          <w:color w:val="000000" w:themeColor="text1"/>
        </w:rPr>
      </w:pPr>
      <w:r w:rsidRPr="008C4AF3">
        <w:rPr>
          <w:color w:val="000000" w:themeColor="text1"/>
        </w:rPr>
        <w:t>The proposed residence must be the employee’s main and permanent residence; this can be either purchased or rented.</w:t>
      </w:r>
    </w:p>
    <w:p w14:paraId="4169C9CC" w14:textId="77777777" w:rsidR="00CB2E0B" w:rsidRPr="008C4AF3" w:rsidRDefault="00CB2E0B" w:rsidP="00036885">
      <w:pPr>
        <w:spacing w:after="0" w:line="240" w:lineRule="auto"/>
        <w:jc w:val="both"/>
        <w:rPr>
          <w:rFonts w:ascii="Arial" w:hAnsi="Arial" w:cs="Arial"/>
          <w:b/>
          <w:color w:val="000000" w:themeColor="text1"/>
          <w:sz w:val="24"/>
          <w:szCs w:val="24"/>
        </w:rPr>
      </w:pPr>
      <w:r w:rsidRPr="008C4AF3">
        <w:rPr>
          <w:rFonts w:ascii="Arial" w:hAnsi="Arial" w:cs="Arial"/>
          <w:b/>
          <w:color w:val="000000" w:themeColor="text1"/>
          <w:sz w:val="24"/>
          <w:szCs w:val="24"/>
        </w:rPr>
        <w:tab/>
      </w:r>
    </w:p>
    <w:p w14:paraId="126F7419" w14:textId="1873F3C2" w:rsidR="00CB2E0B" w:rsidRPr="008C4AF3" w:rsidRDefault="00036885" w:rsidP="00036885">
      <w:pPr>
        <w:spacing w:after="0" w:line="240" w:lineRule="auto"/>
        <w:ind w:left="720" w:hanging="720"/>
        <w:jc w:val="both"/>
        <w:rPr>
          <w:rFonts w:ascii="Arial" w:hAnsi="Arial" w:cs="Arial"/>
          <w:color w:val="000000" w:themeColor="text1"/>
          <w:sz w:val="24"/>
          <w:szCs w:val="24"/>
        </w:rPr>
      </w:pPr>
      <w:r w:rsidRPr="008C4AF3">
        <w:rPr>
          <w:rFonts w:ascii="Arial" w:hAnsi="Arial" w:cs="Arial"/>
          <w:color w:val="000000" w:themeColor="text1"/>
          <w:sz w:val="24"/>
          <w:szCs w:val="24"/>
        </w:rPr>
        <w:t>3</w:t>
      </w:r>
      <w:r w:rsidR="00CB2E0B" w:rsidRPr="008C4AF3">
        <w:rPr>
          <w:rFonts w:ascii="Arial" w:hAnsi="Arial" w:cs="Arial"/>
          <w:color w:val="000000" w:themeColor="text1"/>
          <w:sz w:val="24"/>
          <w:szCs w:val="24"/>
        </w:rPr>
        <w:t>.2</w:t>
      </w:r>
      <w:r w:rsidR="00CB2E0B" w:rsidRPr="008C4AF3">
        <w:rPr>
          <w:rFonts w:ascii="Arial" w:hAnsi="Arial" w:cs="Arial"/>
          <w:color w:val="000000" w:themeColor="text1"/>
          <w:sz w:val="24"/>
          <w:szCs w:val="24"/>
        </w:rPr>
        <w:tab/>
        <w:t>The relocating employee is required to discuss any relocation package with the recruiting manager at the time of an offer of employment being made to them and to receive written confirmation of the relocation package which is agreed before committing to any spend. The employee will then be expected to register their claim within three months of the offer of appointment and no more than one month after taking up appointment. The employee will normally be expected to complete the submission of all expenses claims within 12 months of taking up the new post. To be eligible for tax exemption, any eligible claim must be incurred before the end of the tax year following the tax year in which new employment is taken up.</w:t>
      </w:r>
    </w:p>
    <w:p w14:paraId="31920213" w14:textId="486B6E89" w:rsidR="00CB2E0B" w:rsidRPr="008C4AF3" w:rsidRDefault="00036885" w:rsidP="00036885">
      <w:pPr>
        <w:pStyle w:val="Heading1"/>
        <w:rPr>
          <w:rFonts w:ascii="Arial" w:hAnsi="Arial" w:cs="Arial"/>
          <w:b/>
          <w:color w:val="000000" w:themeColor="text1"/>
          <w:sz w:val="28"/>
          <w:szCs w:val="28"/>
        </w:rPr>
      </w:pPr>
      <w:bookmarkStart w:id="5" w:name="_Toc106795339"/>
      <w:r w:rsidRPr="008C4AF3">
        <w:rPr>
          <w:rFonts w:ascii="Arial" w:hAnsi="Arial" w:cs="Arial"/>
          <w:b/>
          <w:color w:val="000000" w:themeColor="text1"/>
          <w:sz w:val="28"/>
          <w:szCs w:val="28"/>
        </w:rPr>
        <w:t>4</w:t>
      </w:r>
      <w:r w:rsidR="00CB2E0B" w:rsidRPr="008C4AF3">
        <w:rPr>
          <w:rFonts w:ascii="Arial" w:hAnsi="Arial" w:cs="Arial"/>
          <w:b/>
          <w:color w:val="000000" w:themeColor="text1"/>
          <w:sz w:val="28"/>
          <w:szCs w:val="28"/>
        </w:rPr>
        <w:t>.</w:t>
      </w:r>
      <w:r w:rsidR="00CB2E0B" w:rsidRPr="008C4AF3">
        <w:rPr>
          <w:rFonts w:ascii="Arial" w:hAnsi="Arial" w:cs="Arial"/>
          <w:b/>
          <w:color w:val="000000" w:themeColor="text1"/>
          <w:sz w:val="28"/>
          <w:szCs w:val="28"/>
        </w:rPr>
        <w:tab/>
        <w:t>REIMBURSEMENT COSTS</w:t>
      </w:r>
      <w:bookmarkEnd w:id="5"/>
    </w:p>
    <w:p w14:paraId="496670DD" w14:textId="77777777" w:rsidR="00CB2E0B" w:rsidRPr="008C4AF3" w:rsidRDefault="00CB2E0B" w:rsidP="00036885">
      <w:pPr>
        <w:pStyle w:val="Default"/>
        <w:rPr>
          <w:color w:val="000000" w:themeColor="text1"/>
        </w:rPr>
      </w:pPr>
    </w:p>
    <w:p w14:paraId="7A049F94" w14:textId="288D551B" w:rsidR="00CB2E0B" w:rsidRPr="008C4AF3" w:rsidRDefault="00036885" w:rsidP="00036885">
      <w:pPr>
        <w:pStyle w:val="Default"/>
        <w:ind w:left="709" w:hanging="709"/>
        <w:rPr>
          <w:color w:val="000000" w:themeColor="text1"/>
        </w:rPr>
      </w:pPr>
      <w:r w:rsidRPr="008C4AF3">
        <w:rPr>
          <w:color w:val="000000" w:themeColor="text1"/>
        </w:rPr>
        <w:t>4</w:t>
      </w:r>
      <w:r w:rsidR="00CB2E0B" w:rsidRPr="008C4AF3">
        <w:rPr>
          <w:color w:val="000000" w:themeColor="text1"/>
        </w:rPr>
        <w:t>.1</w:t>
      </w:r>
      <w:r w:rsidR="00CB2E0B" w:rsidRPr="008C4AF3">
        <w:rPr>
          <w:color w:val="000000" w:themeColor="text1"/>
        </w:rPr>
        <w:tab/>
        <w:t>The maximum level of relocation expenses that will be reimbursed by the organisation under all parts of this policy will not exceed £8,000.</w:t>
      </w:r>
    </w:p>
    <w:p w14:paraId="1E6AF40B" w14:textId="77777777" w:rsidR="00CB2E0B" w:rsidRPr="008C4AF3" w:rsidRDefault="00CB2E0B" w:rsidP="00036885">
      <w:pPr>
        <w:pStyle w:val="Default"/>
        <w:ind w:left="709" w:hanging="709"/>
        <w:rPr>
          <w:color w:val="000000" w:themeColor="text1"/>
        </w:rPr>
      </w:pPr>
    </w:p>
    <w:p w14:paraId="08210678" w14:textId="08BE057C" w:rsidR="00CB2E0B" w:rsidRPr="008C4AF3" w:rsidRDefault="00036885" w:rsidP="00036885">
      <w:pPr>
        <w:pStyle w:val="Default"/>
        <w:ind w:left="709" w:hanging="709"/>
        <w:rPr>
          <w:color w:val="000000" w:themeColor="text1"/>
        </w:rPr>
      </w:pPr>
      <w:r w:rsidRPr="008C4AF3">
        <w:rPr>
          <w:color w:val="000000" w:themeColor="text1"/>
        </w:rPr>
        <w:t>4</w:t>
      </w:r>
      <w:r w:rsidR="00CB2E0B" w:rsidRPr="008C4AF3">
        <w:rPr>
          <w:color w:val="000000" w:themeColor="text1"/>
        </w:rPr>
        <w:t>.2</w:t>
      </w:r>
      <w:r w:rsidR="00CB2E0B" w:rsidRPr="008C4AF3">
        <w:rPr>
          <w:color w:val="000000" w:themeColor="text1"/>
        </w:rPr>
        <w:tab/>
        <w:t>It should be noted that this is the tax free maximum allowed by HM Revenues &amp; Custom, though certain items of expenditure within this may be taxable and subject to national insurance contributions, i.e. travel expenses. The employee is responsible for any statutory income tax and national insurance liability incurred as a result of receiving relocation expenses.</w:t>
      </w:r>
    </w:p>
    <w:p w14:paraId="7601CD1B" w14:textId="77777777" w:rsidR="00CB2E0B" w:rsidRPr="008C4AF3" w:rsidRDefault="00CB2E0B" w:rsidP="00036885">
      <w:pPr>
        <w:pStyle w:val="Default"/>
        <w:ind w:left="709" w:hanging="709"/>
        <w:rPr>
          <w:color w:val="000000" w:themeColor="text1"/>
        </w:rPr>
      </w:pPr>
    </w:p>
    <w:p w14:paraId="3E2688C2" w14:textId="7CDFF209" w:rsidR="00CB2E0B" w:rsidRPr="008C4AF3" w:rsidRDefault="00036885" w:rsidP="00036885">
      <w:pPr>
        <w:pStyle w:val="Default"/>
        <w:ind w:left="709" w:hanging="709"/>
        <w:rPr>
          <w:color w:val="000000" w:themeColor="text1"/>
        </w:rPr>
      </w:pPr>
      <w:r w:rsidRPr="008C4AF3">
        <w:rPr>
          <w:color w:val="000000" w:themeColor="text1"/>
        </w:rPr>
        <w:t>4</w:t>
      </w:r>
      <w:r w:rsidR="00CB2E0B" w:rsidRPr="008C4AF3">
        <w:rPr>
          <w:color w:val="000000" w:themeColor="text1"/>
        </w:rPr>
        <w:t>.3</w:t>
      </w:r>
      <w:r w:rsidR="00CB2E0B" w:rsidRPr="008C4AF3">
        <w:rPr>
          <w:color w:val="000000" w:themeColor="text1"/>
        </w:rPr>
        <w:tab/>
        <w:t>This amount is not a lump sum but can be reimbursed for eligible expenditure as set out in sections 4.6, 4.7, 4.8, 4.9 and 4.10 against valid receipts and invoices.</w:t>
      </w:r>
    </w:p>
    <w:p w14:paraId="67594F5E" w14:textId="77777777" w:rsidR="00CB2E0B" w:rsidRPr="008C4AF3" w:rsidRDefault="00CB2E0B" w:rsidP="00036885">
      <w:pPr>
        <w:pStyle w:val="Default"/>
        <w:ind w:left="709" w:hanging="709"/>
        <w:rPr>
          <w:color w:val="000000" w:themeColor="text1"/>
        </w:rPr>
      </w:pPr>
    </w:p>
    <w:p w14:paraId="6846C1A2" w14:textId="0185B9A3" w:rsidR="00CB2E0B" w:rsidRPr="008C4AF3" w:rsidRDefault="00036885" w:rsidP="00036885">
      <w:pPr>
        <w:pStyle w:val="Default"/>
        <w:ind w:left="709" w:hanging="709"/>
        <w:rPr>
          <w:color w:val="000000" w:themeColor="text1"/>
        </w:rPr>
      </w:pPr>
      <w:r w:rsidRPr="008C4AF3">
        <w:rPr>
          <w:color w:val="000000" w:themeColor="text1"/>
        </w:rPr>
        <w:t>4</w:t>
      </w:r>
      <w:r w:rsidR="00CB2E0B" w:rsidRPr="008C4AF3">
        <w:rPr>
          <w:color w:val="000000" w:themeColor="text1"/>
        </w:rPr>
        <w:t>.4</w:t>
      </w:r>
      <w:r w:rsidR="00CB2E0B" w:rsidRPr="008C4AF3">
        <w:rPr>
          <w:color w:val="000000" w:themeColor="text1"/>
        </w:rPr>
        <w:tab/>
        <w:t>Employees are required to mitigate all expenses involved in their relocation and expenses will be reimbursed only if they are deemed reasonable. This policy provides for a contribution to the cost of relocation only and is not intended to meet fully all costs associated with relocation, although it may do so in some circumstances.</w:t>
      </w:r>
    </w:p>
    <w:p w14:paraId="15E17BCD" w14:textId="3A2AC44D" w:rsidR="00CB2E0B" w:rsidRPr="008C4AF3" w:rsidRDefault="00036885" w:rsidP="00036885">
      <w:pPr>
        <w:pStyle w:val="Default"/>
        <w:ind w:left="709" w:hanging="709"/>
        <w:rPr>
          <w:color w:val="000000" w:themeColor="text1"/>
        </w:rPr>
      </w:pPr>
      <w:r w:rsidRPr="008C4AF3">
        <w:rPr>
          <w:color w:val="000000" w:themeColor="text1"/>
        </w:rPr>
        <w:t>4</w:t>
      </w:r>
      <w:r w:rsidR="00CB2E0B" w:rsidRPr="008C4AF3">
        <w:rPr>
          <w:color w:val="000000" w:themeColor="text1"/>
        </w:rPr>
        <w:t>.5</w:t>
      </w:r>
      <w:r w:rsidR="00CB2E0B" w:rsidRPr="008C4AF3">
        <w:rPr>
          <w:color w:val="000000" w:themeColor="text1"/>
        </w:rPr>
        <w:tab/>
        <w:t>In cases of relocation from abroad, expenses will be limited to those from the point of entry into the UK.</w:t>
      </w:r>
    </w:p>
    <w:p w14:paraId="065735A0" w14:textId="6C630636" w:rsidR="00CB2E0B" w:rsidRPr="008C4AF3" w:rsidRDefault="00CB2E0B" w:rsidP="00036885">
      <w:pPr>
        <w:pStyle w:val="Default"/>
        <w:rPr>
          <w:color w:val="000000" w:themeColor="text1"/>
        </w:rPr>
      </w:pPr>
    </w:p>
    <w:p w14:paraId="2DF247EB" w14:textId="42BDD76A" w:rsidR="00036885" w:rsidRPr="008C4AF3" w:rsidRDefault="00036885" w:rsidP="00036885">
      <w:pPr>
        <w:pStyle w:val="Default"/>
        <w:rPr>
          <w:color w:val="000000" w:themeColor="text1"/>
        </w:rPr>
      </w:pPr>
    </w:p>
    <w:p w14:paraId="07FDDD92" w14:textId="77777777" w:rsidR="00036885" w:rsidRPr="008C4AF3" w:rsidRDefault="00036885" w:rsidP="00036885">
      <w:pPr>
        <w:pStyle w:val="Default"/>
        <w:rPr>
          <w:color w:val="000000" w:themeColor="text1"/>
        </w:rPr>
      </w:pPr>
    </w:p>
    <w:p w14:paraId="5AB0FFE8" w14:textId="0CA5B0DE" w:rsidR="00CB2E0B" w:rsidRPr="008C4AF3" w:rsidRDefault="00036885" w:rsidP="00036885">
      <w:pPr>
        <w:pStyle w:val="Default"/>
        <w:rPr>
          <w:b/>
          <w:color w:val="000000" w:themeColor="text1"/>
        </w:rPr>
      </w:pPr>
      <w:r w:rsidRPr="008C4AF3">
        <w:rPr>
          <w:b/>
          <w:color w:val="000000" w:themeColor="text1"/>
        </w:rPr>
        <w:lastRenderedPageBreak/>
        <w:t>4</w:t>
      </w:r>
      <w:r w:rsidR="00CB2E0B" w:rsidRPr="008C4AF3">
        <w:rPr>
          <w:b/>
          <w:color w:val="000000" w:themeColor="text1"/>
        </w:rPr>
        <w:t>.6</w:t>
      </w:r>
      <w:r w:rsidR="00CB2E0B" w:rsidRPr="008C4AF3">
        <w:rPr>
          <w:b/>
          <w:color w:val="000000" w:themeColor="text1"/>
        </w:rPr>
        <w:tab/>
        <w:t>House Hunting</w:t>
      </w:r>
    </w:p>
    <w:p w14:paraId="53565DBE" w14:textId="77777777" w:rsidR="00CB2E0B" w:rsidRPr="008C4AF3" w:rsidRDefault="00CB2E0B" w:rsidP="00036885">
      <w:pPr>
        <w:pStyle w:val="Default"/>
        <w:rPr>
          <w:b/>
          <w:color w:val="000000" w:themeColor="text1"/>
        </w:rPr>
      </w:pPr>
    </w:p>
    <w:p w14:paraId="33572288" w14:textId="5DD58E38" w:rsidR="00CB2E0B" w:rsidRPr="008C4AF3" w:rsidRDefault="00036885" w:rsidP="00036885">
      <w:pPr>
        <w:pStyle w:val="Default"/>
        <w:ind w:left="709" w:hanging="709"/>
        <w:rPr>
          <w:color w:val="000000" w:themeColor="text1"/>
        </w:rPr>
      </w:pPr>
      <w:r w:rsidRPr="008C4AF3">
        <w:rPr>
          <w:color w:val="000000" w:themeColor="text1"/>
        </w:rPr>
        <w:t>4</w:t>
      </w:r>
      <w:r w:rsidR="00CB2E0B" w:rsidRPr="008C4AF3">
        <w:rPr>
          <w:color w:val="000000" w:themeColor="text1"/>
        </w:rPr>
        <w:t>.6.1</w:t>
      </w:r>
      <w:r w:rsidR="00CB2E0B" w:rsidRPr="008C4AF3">
        <w:rPr>
          <w:color w:val="000000" w:themeColor="text1"/>
        </w:rPr>
        <w:tab/>
        <w:t>The organisation will reimburse reasonable travelling and accommodation costs incurred by the employee when visiting the new area in an attempt to find accommodation.</w:t>
      </w:r>
    </w:p>
    <w:p w14:paraId="30D49373" w14:textId="77777777" w:rsidR="00CB2E0B" w:rsidRPr="008C4AF3" w:rsidRDefault="00CB2E0B" w:rsidP="00036885">
      <w:pPr>
        <w:pStyle w:val="Default"/>
        <w:rPr>
          <w:color w:val="000000" w:themeColor="text1"/>
        </w:rPr>
      </w:pPr>
    </w:p>
    <w:p w14:paraId="662966A9" w14:textId="63CF263B" w:rsidR="00CB2E0B" w:rsidRPr="008C4AF3" w:rsidRDefault="00036885" w:rsidP="00036885">
      <w:pPr>
        <w:pStyle w:val="Default"/>
        <w:ind w:left="709" w:hanging="709"/>
        <w:rPr>
          <w:color w:val="000000" w:themeColor="text1"/>
        </w:rPr>
      </w:pPr>
      <w:r w:rsidRPr="008C4AF3">
        <w:rPr>
          <w:color w:val="000000" w:themeColor="text1"/>
        </w:rPr>
        <w:t>4</w:t>
      </w:r>
      <w:r w:rsidR="00CB2E0B" w:rsidRPr="008C4AF3">
        <w:rPr>
          <w:color w:val="000000" w:themeColor="text1"/>
        </w:rPr>
        <w:t>.6.2</w:t>
      </w:r>
      <w:r w:rsidR="00CB2E0B" w:rsidRPr="008C4AF3">
        <w:rPr>
          <w:color w:val="000000" w:themeColor="text1"/>
        </w:rPr>
        <w:tab/>
        <w:t>The employee may claim reimbursement of travelling expenses for one return journey. Travel expenses by public transport will be limited to the cost of standard class rail fare. Reimbursement of mileage for travel by other means, e.g. car, will be at the Reserve Rate in accordance with Section 17 of the NHS Terms and Conditions of Service Handbook.</w:t>
      </w:r>
    </w:p>
    <w:p w14:paraId="5D5450F6" w14:textId="77777777" w:rsidR="00CB2E0B" w:rsidRPr="008C4AF3" w:rsidRDefault="00CB2E0B" w:rsidP="00036885">
      <w:pPr>
        <w:pStyle w:val="Default"/>
        <w:ind w:left="709" w:hanging="709"/>
        <w:rPr>
          <w:color w:val="000000" w:themeColor="text1"/>
        </w:rPr>
      </w:pPr>
    </w:p>
    <w:p w14:paraId="06B2D8F8" w14:textId="56805216" w:rsidR="00CB2E0B" w:rsidRPr="008C4AF3" w:rsidRDefault="00036885" w:rsidP="00036885">
      <w:pPr>
        <w:pStyle w:val="Default"/>
        <w:ind w:left="709" w:hanging="709"/>
        <w:rPr>
          <w:color w:val="000000" w:themeColor="text1"/>
        </w:rPr>
      </w:pPr>
      <w:r w:rsidRPr="008C4AF3">
        <w:rPr>
          <w:color w:val="000000" w:themeColor="text1"/>
        </w:rPr>
        <w:t>4</w:t>
      </w:r>
      <w:r w:rsidR="00CB2E0B" w:rsidRPr="008C4AF3">
        <w:rPr>
          <w:color w:val="000000" w:themeColor="text1"/>
        </w:rPr>
        <w:t>.6.3</w:t>
      </w:r>
      <w:r w:rsidR="00CB2E0B" w:rsidRPr="008C4AF3">
        <w:rPr>
          <w:color w:val="000000" w:themeColor="text1"/>
        </w:rPr>
        <w:tab/>
        <w:t>A subsistence allowance may also be claimed for up to four nights. Subsistence allowances are subject to an upper limit equivalent to the allowances set out in Annex 14 of the NHS Terms and Conditions of Service Handbook.</w:t>
      </w:r>
    </w:p>
    <w:p w14:paraId="163A4F47" w14:textId="77777777" w:rsidR="00CB2E0B" w:rsidRPr="008C4AF3" w:rsidRDefault="00CB2E0B" w:rsidP="00036885">
      <w:pPr>
        <w:pStyle w:val="Default"/>
        <w:rPr>
          <w:color w:val="000000" w:themeColor="text1"/>
        </w:rPr>
      </w:pPr>
    </w:p>
    <w:p w14:paraId="56001E93" w14:textId="29C17C57" w:rsidR="00CB2E0B" w:rsidRPr="008C4AF3" w:rsidRDefault="00036885" w:rsidP="00036885">
      <w:pPr>
        <w:pStyle w:val="Default"/>
        <w:ind w:left="709" w:hanging="709"/>
        <w:rPr>
          <w:b/>
          <w:color w:val="000000" w:themeColor="text1"/>
        </w:rPr>
      </w:pPr>
      <w:r w:rsidRPr="008C4AF3">
        <w:rPr>
          <w:b/>
          <w:color w:val="000000" w:themeColor="text1"/>
        </w:rPr>
        <w:t>4</w:t>
      </w:r>
      <w:r w:rsidR="00CB2E0B" w:rsidRPr="008C4AF3">
        <w:rPr>
          <w:b/>
          <w:color w:val="000000" w:themeColor="text1"/>
        </w:rPr>
        <w:t>.7</w:t>
      </w:r>
      <w:r w:rsidR="00CB2E0B" w:rsidRPr="008C4AF3">
        <w:rPr>
          <w:b/>
          <w:color w:val="000000" w:themeColor="text1"/>
        </w:rPr>
        <w:tab/>
        <w:t>Buying and Selling Property</w:t>
      </w:r>
    </w:p>
    <w:p w14:paraId="5DA1C7B0" w14:textId="77777777" w:rsidR="00CB2E0B" w:rsidRPr="008C4AF3" w:rsidRDefault="00CB2E0B" w:rsidP="00036885">
      <w:pPr>
        <w:pStyle w:val="Default"/>
        <w:rPr>
          <w:color w:val="000000" w:themeColor="text1"/>
        </w:rPr>
      </w:pPr>
    </w:p>
    <w:p w14:paraId="2276A66C" w14:textId="6C0A8F7F" w:rsidR="00CB2E0B" w:rsidRPr="008C4AF3" w:rsidRDefault="00036885" w:rsidP="00036885">
      <w:pPr>
        <w:pStyle w:val="Default"/>
        <w:ind w:left="709" w:hanging="709"/>
        <w:rPr>
          <w:color w:val="000000" w:themeColor="text1"/>
        </w:rPr>
      </w:pPr>
      <w:r w:rsidRPr="008C4AF3">
        <w:rPr>
          <w:color w:val="000000" w:themeColor="text1"/>
        </w:rPr>
        <w:t>4</w:t>
      </w:r>
      <w:r w:rsidR="00CB2E0B" w:rsidRPr="008C4AF3">
        <w:rPr>
          <w:color w:val="000000" w:themeColor="text1"/>
        </w:rPr>
        <w:t>.7.1</w:t>
      </w:r>
      <w:r w:rsidR="00CB2E0B" w:rsidRPr="008C4AF3">
        <w:rPr>
          <w:color w:val="000000" w:themeColor="text1"/>
        </w:rPr>
        <w:tab/>
        <w:t>If they are approved, the organisation will reimburse the following costs reasonably incurred by the employee in the selling and buying of property to relocate:</w:t>
      </w:r>
    </w:p>
    <w:p w14:paraId="3CDB3DE6" w14:textId="77777777" w:rsidR="00CB2E0B" w:rsidRPr="008C4AF3" w:rsidRDefault="00CB2E0B" w:rsidP="00036885">
      <w:pPr>
        <w:pStyle w:val="Default"/>
        <w:rPr>
          <w:color w:val="000000" w:themeColor="text1"/>
        </w:rPr>
      </w:pPr>
    </w:p>
    <w:p w14:paraId="41E27107" w14:textId="77777777" w:rsidR="00CB2E0B" w:rsidRPr="008C4AF3" w:rsidRDefault="00CB2E0B" w:rsidP="00036885">
      <w:pPr>
        <w:pStyle w:val="Default"/>
        <w:numPr>
          <w:ilvl w:val="0"/>
          <w:numId w:val="55"/>
        </w:numPr>
        <w:rPr>
          <w:color w:val="000000" w:themeColor="text1"/>
        </w:rPr>
      </w:pPr>
      <w:r w:rsidRPr="008C4AF3">
        <w:rPr>
          <w:color w:val="000000" w:themeColor="text1"/>
        </w:rPr>
        <w:t>The estate agency, auctioneer and advertising fees associated with selling the employee’s existing property.</w:t>
      </w:r>
    </w:p>
    <w:p w14:paraId="2716F688" w14:textId="77777777" w:rsidR="00CB2E0B" w:rsidRPr="008C4AF3" w:rsidRDefault="00CB2E0B" w:rsidP="00036885">
      <w:pPr>
        <w:pStyle w:val="Default"/>
        <w:numPr>
          <w:ilvl w:val="0"/>
          <w:numId w:val="55"/>
        </w:numPr>
        <w:rPr>
          <w:color w:val="000000" w:themeColor="text1"/>
        </w:rPr>
      </w:pPr>
      <w:r w:rsidRPr="008C4AF3">
        <w:rPr>
          <w:color w:val="000000" w:themeColor="text1"/>
        </w:rPr>
        <w:t>The legal and conveyancing fees associated with selling the employee’s existing property.</w:t>
      </w:r>
    </w:p>
    <w:p w14:paraId="36FC82D8" w14:textId="77777777" w:rsidR="00CB2E0B" w:rsidRPr="008C4AF3" w:rsidRDefault="00CB2E0B" w:rsidP="00036885">
      <w:pPr>
        <w:pStyle w:val="Default"/>
        <w:numPr>
          <w:ilvl w:val="0"/>
          <w:numId w:val="55"/>
        </w:numPr>
        <w:rPr>
          <w:color w:val="000000" w:themeColor="text1"/>
        </w:rPr>
      </w:pPr>
      <w:r w:rsidRPr="008C4AF3">
        <w:rPr>
          <w:color w:val="000000" w:themeColor="text1"/>
        </w:rPr>
        <w:t>Any charges for disconnection of public utilities and white goods (such as washing machines) serving the employee’s existing property.</w:t>
      </w:r>
    </w:p>
    <w:p w14:paraId="10345E3B" w14:textId="77777777" w:rsidR="00CB2E0B" w:rsidRPr="008C4AF3" w:rsidRDefault="00CB2E0B" w:rsidP="00036885">
      <w:pPr>
        <w:widowControl w:val="0"/>
        <w:numPr>
          <w:ilvl w:val="0"/>
          <w:numId w:val="55"/>
        </w:numPr>
        <w:autoSpaceDE w:val="0"/>
        <w:autoSpaceDN w:val="0"/>
        <w:adjustRightInd w:val="0"/>
        <w:spacing w:after="0" w:line="240" w:lineRule="auto"/>
        <w:rPr>
          <w:rFonts w:ascii="Arial" w:hAnsi="Arial" w:cs="Arial"/>
          <w:color w:val="000000" w:themeColor="text1"/>
          <w:sz w:val="24"/>
          <w:szCs w:val="24"/>
        </w:rPr>
      </w:pPr>
      <w:r w:rsidRPr="008C4AF3">
        <w:rPr>
          <w:rFonts w:ascii="Arial" w:hAnsi="Arial" w:cs="Arial"/>
          <w:color w:val="000000" w:themeColor="text1"/>
          <w:sz w:val="24"/>
          <w:szCs w:val="24"/>
        </w:rPr>
        <w:t>The legal and conveyancing fees (including survey, Land Registry, search and mortgage arrangement fees) associated with purchase of the new property</w:t>
      </w:r>
    </w:p>
    <w:p w14:paraId="440FB508" w14:textId="77777777" w:rsidR="00CB2E0B" w:rsidRPr="008C4AF3" w:rsidRDefault="00CB2E0B" w:rsidP="00036885">
      <w:pPr>
        <w:pStyle w:val="Default"/>
        <w:numPr>
          <w:ilvl w:val="0"/>
          <w:numId w:val="55"/>
        </w:numPr>
        <w:rPr>
          <w:color w:val="000000" w:themeColor="text1"/>
        </w:rPr>
      </w:pPr>
      <w:r w:rsidRPr="008C4AF3">
        <w:rPr>
          <w:color w:val="000000" w:themeColor="text1"/>
        </w:rPr>
        <w:t>The stamp duty incurred in connection with the purchase of a new property (up to 1% based on a maximum property value of £250,000).</w:t>
      </w:r>
    </w:p>
    <w:p w14:paraId="29A0C535" w14:textId="77777777" w:rsidR="00CB2E0B" w:rsidRPr="008C4AF3" w:rsidRDefault="00CB2E0B" w:rsidP="00036885">
      <w:pPr>
        <w:pStyle w:val="Default"/>
        <w:numPr>
          <w:ilvl w:val="0"/>
          <w:numId w:val="55"/>
        </w:numPr>
        <w:rPr>
          <w:color w:val="000000" w:themeColor="text1"/>
        </w:rPr>
      </w:pPr>
      <w:r w:rsidRPr="008C4AF3">
        <w:rPr>
          <w:color w:val="000000" w:themeColor="text1"/>
        </w:rPr>
        <w:t>Any charges for connection of public utilities and white goods serving the new property.</w:t>
      </w:r>
    </w:p>
    <w:p w14:paraId="17BA38CE" w14:textId="77777777" w:rsidR="00CB2E0B" w:rsidRPr="008C4AF3" w:rsidRDefault="00CB2E0B" w:rsidP="00036885">
      <w:pPr>
        <w:pStyle w:val="Default"/>
        <w:numPr>
          <w:ilvl w:val="0"/>
          <w:numId w:val="55"/>
        </w:numPr>
        <w:rPr>
          <w:color w:val="000000" w:themeColor="text1"/>
        </w:rPr>
      </w:pPr>
      <w:r w:rsidRPr="008C4AF3">
        <w:rPr>
          <w:color w:val="000000" w:themeColor="text1"/>
        </w:rPr>
        <w:t>The costs of moving the employee’s furniture, domestic goods and personal possessions from his/her existing property to the new property, including insurance taken out to cover goods in transit. Three quotations should be obtained from removal companies and reimbursement will be limited to amount of the lowest quote.</w:t>
      </w:r>
    </w:p>
    <w:p w14:paraId="5E21F34D" w14:textId="77777777" w:rsidR="00CB2E0B" w:rsidRPr="008C4AF3" w:rsidRDefault="00CB2E0B" w:rsidP="00036885">
      <w:pPr>
        <w:widowControl w:val="0"/>
        <w:numPr>
          <w:ilvl w:val="0"/>
          <w:numId w:val="55"/>
        </w:numPr>
        <w:autoSpaceDE w:val="0"/>
        <w:autoSpaceDN w:val="0"/>
        <w:adjustRightInd w:val="0"/>
        <w:spacing w:after="0" w:line="240" w:lineRule="auto"/>
        <w:rPr>
          <w:rFonts w:ascii="Arial" w:hAnsi="Arial" w:cs="Arial"/>
          <w:color w:val="000000" w:themeColor="text1"/>
          <w:sz w:val="24"/>
          <w:szCs w:val="24"/>
        </w:rPr>
      </w:pPr>
      <w:r w:rsidRPr="008C4AF3">
        <w:rPr>
          <w:rFonts w:ascii="Arial" w:hAnsi="Arial" w:cs="Arial"/>
          <w:color w:val="000000" w:themeColor="text1"/>
          <w:sz w:val="24"/>
          <w:szCs w:val="24"/>
        </w:rPr>
        <w:t>The costs of temporary storage and insurance of the employee’s furniture, domestic goods and personal possessions if not moving from existing property to the new property, for a maximum of six months. Three quotations should be obtained from storage companies and reimbursement will be limited to amount of the lowest quote.</w:t>
      </w:r>
    </w:p>
    <w:p w14:paraId="577FC137" w14:textId="3129D845" w:rsidR="00CB2E0B" w:rsidRPr="008C4AF3" w:rsidRDefault="00CB2E0B" w:rsidP="00036885">
      <w:pPr>
        <w:pStyle w:val="Default"/>
        <w:rPr>
          <w:b/>
          <w:color w:val="000000" w:themeColor="text1"/>
        </w:rPr>
      </w:pPr>
    </w:p>
    <w:p w14:paraId="2D5AABAE" w14:textId="0A78F92C" w:rsidR="00036885" w:rsidRPr="008C4AF3" w:rsidRDefault="00036885" w:rsidP="00036885">
      <w:pPr>
        <w:pStyle w:val="Default"/>
        <w:rPr>
          <w:b/>
          <w:color w:val="000000" w:themeColor="text1"/>
        </w:rPr>
      </w:pPr>
    </w:p>
    <w:p w14:paraId="5DFBC0FC" w14:textId="1E275FA3" w:rsidR="00036885" w:rsidRPr="008C4AF3" w:rsidRDefault="00036885" w:rsidP="00036885">
      <w:pPr>
        <w:pStyle w:val="Default"/>
        <w:rPr>
          <w:b/>
          <w:color w:val="000000" w:themeColor="text1"/>
        </w:rPr>
      </w:pPr>
    </w:p>
    <w:p w14:paraId="678CACC1" w14:textId="77777777" w:rsidR="00036885" w:rsidRPr="008C4AF3" w:rsidRDefault="00036885" w:rsidP="00036885">
      <w:pPr>
        <w:pStyle w:val="Default"/>
        <w:rPr>
          <w:b/>
          <w:color w:val="000000" w:themeColor="text1"/>
        </w:rPr>
      </w:pPr>
    </w:p>
    <w:p w14:paraId="5B243891" w14:textId="04157509" w:rsidR="00CB2E0B" w:rsidRPr="008C4AF3" w:rsidRDefault="00036885" w:rsidP="00036885">
      <w:pPr>
        <w:pStyle w:val="Default"/>
        <w:rPr>
          <w:b/>
          <w:color w:val="000000" w:themeColor="text1"/>
        </w:rPr>
      </w:pPr>
      <w:r w:rsidRPr="008C4AF3">
        <w:rPr>
          <w:b/>
          <w:color w:val="000000" w:themeColor="text1"/>
        </w:rPr>
        <w:lastRenderedPageBreak/>
        <w:t>4</w:t>
      </w:r>
      <w:r w:rsidR="00CB2E0B" w:rsidRPr="008C4AF3">
        <w:rPr>
          <w:b/>
          <w:color w:val="000000" w:themeColor="text1"/>
        </w:rPr>
        <w:t>.8</w:t>
      </w:r>
      <w:r w:rsidR="00CB2E0B" w:rsidRPr="008C4AF3">
        <w:rPr>
          <w:b/>
          <w:color w:val="000000" w:themeColor="text1"/>
        </w:rPr>
        <w:tab/>
        <w:t>Non Home Owners</w:t>
      </w:r>
    </w:p>
    <w:p w14:paraId="179AE77F" w14:textId="77777777" w:rsidR="00CB2E0B" w:rsidRPr="008C4AF3" w:rsidRDefault="00CB2E0B" w:rsidP="00036885">
      <w:pPr>
        <w:pStyle w:val="Default"/>
        <w:rPr>
          <w:b/>
          <w:color w:val="000000" w:themeColor="text1"/>
        </w:rPr>
      </w:pPr>
    </w:p>
    <w:p w14:paraId="2CAFBE4B" w14:textId="5A180326" w:rsidR="00CB2E0B" w:rsidRPr="008C4AF3" w:rsidRDefault="00036885" w:rsidP="00036885">
      <w:pPr>
        <w:pStyle w:val="Default"/>
        <w:ind w:left="720" w:hanging="720"/>
        <w:rPr>
          <w:color w:val="000000" w:themeColor="text1"/>
        </w:rPr>
      </w:pPr>
      <w:r w:rsidRPr="008C4AF3">
        <w:rPr>
          <w:color w:val="000000" w:themeColor="text1"/>
        </w:rPr>
        <w:t>4</w:t>
      </w:r>
      <w:r w:rsidR="00CB2E0B" w:rsidRPr="008C4AF3">
        <w:rPr>
          <w:color w:val="000000" w:themeColor="text1"/>
        </w:rPr>
        <w:t>.8.1</w:t>
      </w:r>
      <w:r w:rsidR="00CB2E0B" w:rsidRPr="008C4AF3">
        <w:rPr>
          <w:color w:val="000000" w:themeColor="text1"/>
        </w:rPr>
        <w:tab/>
        <w:t>If the employee is living in rented accommodation but intends to purchase a property in the new work location, relocation expenses is limited to the costs reasonably incurred in moving from the rented accommodation as set out in section 4.8.2 and no contribution will be made towards the purchase of the new property. Property purchase expenses will be paid only where an existing property has been sold. This is because employees should not gain financially as a result of the relocation.</w:t>
      </w:r>
    </w:p>
    <w:p w14:paraId="6D23FDD6" w14:textId="77777777" w:rsidR="00CB2E0B" w:rsidRPr="008C4AF3" w:rsidRDefault="00CB2E0B" w:rsidP="00036885">
      <w:pPr>
        <w:pStyle w:val="Default"/>
        <w:ind w:left="720" w:hanging="720"/>
        <w:rPr>
          <w:color w:val="000000" w:themeColor="text1"/>
        </w:rPr>
      </w:pPr>
    </w:p>
    <w:p w14:paraId="18CDFC98" w14:textId="649870FE" w:rsidR="00CB2E0B" w:rsidRPr="008C4AF3" w:rsidRDefault="00036885" w:rsidP="00036885">
      <w:pPr>
        <w:pStyle w:val="Default"/>
        <w:ind w:left="720" w:hanging="720"/>
        <w:rPr>
          <w:color w:val="000000" w:themeColor="text1"/>
        </w:rPr>
      </w:pPr>
      <w:r w:rsidRPr="008C4AF3">
        <w:rPr>
          <w:color w:val="000000" w:themeColor="text1"/>
        </w:rPr>
        <w:t>4</w:t>
      </w:r>
      <w:r w:rsidR="00CB2E0B" w:rsidRPr="008C4AF3">
        <w:rPr>
          <w:color w:val="000000" w:themeColor="text1"/>
        </w:rPr>
        <w:t>.8.2</w:t>
      </w:r>
      <w:r w:rsidR="00CB2E0B" w:rsidRPr="008C4AF3">
        <w:rPr>
          <w:color w:val="000000" w:themeColor="text1"/>
        </w:rPr>
        <w:tab/>
        <w:t>If the employee is living in rented accommodation and intends to live permanently in rented accommodation in the new work location, the relocation allowance is more limited. If they are approved, the organisation will reimburse the following costs reasonably incurred in moving from rented to rented accommodation:</w:t>
      </w:r>
    </w:p>
    <w:p w14:paraId="316024D1" w14:textId="77777777" w:rsidR="00CB2E0B" w:rsidRPr="008C4AF3" w:rsidRDefault="00CB2E0B" w:rsidP="00036885">
      <w:pPr>
        <w:pStyle w:val="Default"/>
        <w:rPr>
          <w:color w:val="000000" w:themeColor="text1"/>
        </w:rPr>
      </w:pPr>
    </w:p>
    <w:p w14:paraId="50713859" w14:textId="77777777" w:rsidR="00CB2E0B" w:rsidRPr="008C4AF3" w:rsidRDefault="00CB2E0B" w:rsidP="00036885">
      <w:pPr>
        <w:pStyle w:val="Default"/>
        <w:numPr>
          <w:ilvl w:val="0"/>
          <w:numId w:val="56"/>
        </w:numPr>
        <w:rPr>
          <w:color w:val="000000" w:themeColor="text1"/>
        </w:rPr>
      </w:pPr>
      <w:r w:rsidRPr="008C4AF3">
        <w:rPr>
          <w:color w:val="000000" w:themeColor="text1"/>
        </w:rPr>
        <w:t>Any charges for disconnection of public utilities and white goods serving the existing rented property.</w:t>
      </w:r>
    </w:p>
    <w:p w14:paraId="228B80AE" w14:textId="5F8701C2" w:rsidR="00CB2E0B" w:rsidRPr="008C4AF3" w:rsidRDefault="00CB2E0B" w:rsidP="00036885">
      <w:pPr>
        <w:pStyle w:val="Default"/>
        <w:numPr>
          <w:ilvl w:val="0"/>
          <w:numId w:val="56"/>
        </w:numPr>
        <w:rPr>
          <w:color w:val="000000" w:themeColor="text1"/>
        </w:rPr>
      </w:pPr>
      <w:r w:rsidRPr="008C4AF3">
        <w:rPr>
          <w:color w:val="000000" w:themeColor="text1"/>
        </w:rPr>
        <w:t>The deposit payable to the landlord for the new rented property. The deposit must be reimbursed to the organisation within three months of the employee moving to the new rented property.</w:t>
      </w:r>
    </w:p>
    <w:p w14:paraId="5CD45E96" w14:textId="77777777" w:rsidR="00CB2E0B" w:rsidRPr="008C4AF3" w:rsidRDefault="00CB2E0B" w:rsidP="00036885">
      <w:pPr>
        <w:pStyle w:val="Default"/>
        <w:numPr>
          <w:ilvl w:val="0"/>
          <w:numId w:val="56"/>
        </w:numPr>
        <w:rPr>
          <w:color w:val="000000" w:themeColor="text1"/>
        </w:rPr>
      </w:pPr>
      <w:r w:rsidRPr="008C4AF3">
        <w:rPr>
          <w:color w:val="000000" w:themeColor="text1"/>
        </w:rPr>
        <w:t>Any associated administration costs from the letting agent (including check-out fees, penalty clauses, and lease arrangement fees).</w:t>
      </w:r>
    </w:p>
    <w:p w14:paraId="5A3D965A" w14:textId="77777777" w:rsidR="00CB2E0B" w:rsidRPr="008C4AF3" w:rsidRDefault="00CB2E0B" w:rsidP="00036885">
      <w:pPr>
        <w:widowControl w:val="0"/>
        <w:numPr>
          <w:ilvl w:val="0"/>
          <w:numId w:val="56"/>
        </w:numPr>
        <w:autoSpaceDE w:val="0"/>
        <w:autoSpaceDN w:val="0"/>
        <w:adjustRightInd w:val="0"/>
        <w:spacing w:after="0" w:line="240" w:lineRule="auto"/>
        <w:rPr>
          <w:rFonts w:ascii="Arial" w:hAnsi="Arial" w:cs="Arial"/>
          <w:color w:val="000000" w:themeColor="text1"/>
          <w:sz w:val="24"/>
          <w:szCs w:val="24"/>
        </w:rPr>
      </w:pPr>
      <w:r w:rsidRPr="008C4AF3">
        <w:rPr>
          <w:rFonts w:ascii="Arial" w:hAnsi="Arial" w:cs="Arial"/>
          <w:color w:val="000000" w:themeColor="text1"/>
          <w:sz w:val="24"/>
          <w:szCs w:val="24"/>
        </w:rPr>
        <w:t>Any charges for connection of public utilities and white goods serving the new rented property.</w:t>
      </w:r>
    </w:p>
    <w:p w14:paraId="07BDF030" w14:textId="77777777" w:rsidR="00CB2E0B" w:rsidRPr="008C4AF3" w:rsidRDefault="00CB2E0B" w:rsidP="00036885">
      <w:pPr>
        <w:pStyle w:val="Default"/>
        <w:numPr>
          <w:ilvl w:val="0"/>
          <w:numId w:val="56"/>
        </w:numPr>
        <w:rPr>
          <w:color w:val="000000" w:themeColor="text1"/>
        </w:rPr>
      </w:pPr>
      <w:r w:rsidRPr="008C4AF3">
        <w:rPr>
          <w:color w:val="000000" w:themeColor="text1"/>
        </w:rPr>
        <w:t>Any overlap in rental payments.</w:t>
      </w:r>
    </w:p>
    <w:p w14:paraId="1CB40DB9" w14:textId="77777777" w:rsidR="00CB2E0B" w:rsidRPr="008C4AF3" w:rsidRDefault="00CB2E0B" w:rsidP="00036885">
      <w:pPr>
        <w:pStyle w:val="Default"/>
        <w:numPr>
          <w:ilvl w:val="0"/>
          <w:numId w:val="56"/>
        </w:numPr>
        <w:rPr>
          <w:color w:val="000000" w:themeColor="text1"/>
        </w:rPr>
      </w:pPr>
      <w:r w:rsidRPr="008C4AF3">
        <w:rPr>
          <w:color w:val="000000" w:themeColor="text1"/>
        </w:rPr>
        <w:t>The costs of moving the employee’s furniture, domestic goods and personal possessions from his/her existing rented property to the new rented property, including insurance taken out to cover goods in transit. Three quotations should be obtained from removal companies and reimbursement will be limited to amount of the lowest quote.</w:t>
      </w:r>
    </w:p>
    <w:p w14:paraId="427F3318" w14:textId="77777777" w:rsidR="00CB2E0B" w:rsidRPr="008C4AF3" w:rsidRDefault="00CB2E0B" w:rsidP="00036885">
      <w:pPr>
        <w:pStyle w:val="Default"/>
        <w:numPr>
          <w:ilvl w:val="0"/>
          <w:numId w:val="56"/>
        </w:numPr>
        <w:rPr>
          <w:color w:val="000000" w:themeColor="text1"/>
        </w:rPr>
      </w:pPr>
      <w:r w:rsidRPr="008C4AF3">
        <w:rPr>
          <w:color w:val="000000" w:themeColor="text1"/>
        </w:rPr>
        <w:t>The costs of temporary storage and insurance of the employee’s furniture, domestic goods and personal possessions if not directly moving from the existing property to the new property, for a maximum of six months. Three quotations should be obtained from storage companies and reimbursement will be limited to amount of the lowest quote.</w:t>
      </w:r>
    </w:p>
    <w:p w14:paraId="24D80519" w14:textId="77777777" w:rsidR="00CB2E0B" w:rsidRPr="008C4AF3" w:rsidRDefault="00CB2E0B" w:rsidP="00036885">
      <w:pPr>
        <w:pStyle w:val="Default"/>
        <w:rPr>
          <w:color w:val="000000" w:themeColor="text1"/>
        </w:rPr>
      </w:pPr>
    </w:p>
    <w:p w14:paraId="0E4860B5" w14:textId="2435BEFB" w:rsidR="00CB2E0B" w:rsidRPr="008C4AF3" w:rsidRDefault="00036885" w:rsidP="00036885">
      <w:pPr>
        <w:pStyle w:val="Default"/>
        <w:rPr>
          <w:b/>
          <w:color w:val="000000" w:themeColor="text1"/>
        </w:rPr>
      </w:pPr>
      <w:r w:rsidRPr="008C4AF3">
        <w:rPr>
          <w:b/>
          <w:color w:val="000000" w:themeColor="text1"/>
        </w:rPr>
        <w:t>4</w:t>
      </w:r>
      <w:r w:rsidR="00CB2E0B" w:rsidRPr="008C4AF3">
        <w:rPr>
          <w:b/>
          <w:color w:val="000000" w:themeColor="text1"/>
        </w:rPr>
        <w:t>.9</w:t>
      </w:r>
      <w:r w:rsidR="00CB2E0B" w:rsidRPr="008C4AF3">
        <w:rPr>
          <w:b/>
          <w:color w:val="000000" w:themeColor="text1"/>
        </w:rPr>
        <w:tab/>
        <w:t>Temporary Accommodation</w:t>
      </w:r>
    </w:p>
    <w:p w14:paraId="09B2C451" w14:textId="77777777" w:rsidR="00CB2E0B" w:rsidRPr="008C4AF3" w:rsidRDefault="00CB2E0B" w:rsidP="00036885">
      <w:pPr>
        <w:pStyle w:val="Default"/>
        <w:rPr>
          <w:b/>
          <w:color w:val="000000" w:themeColor="text1"/>
        </w:rPr>
      </w:pPr>
    </w:p>
    <w:p w14:paraId="2A22129F" w14:textId="55DBB3FE" w:rsidR="00CB2E0B" w:rsidRPr="008C4AF3" w:rsidRDefault="00036885" w:rsidP="00036885">
      <w:pPr>
        <w:pStyle w:val="Default"/>
        <w:ind w:left="720" w:hanging="720"/>
        <w:rPr>
          <w:color w:val="000000" w:themeColor="text1"/>
        </w:rPr>
      </w:pPr>
      <w:r w:rsidRPr="008C4AF3">
        <w:rPr>
          <w:color w:val="000000" w:themeColor="text1"/>
        </w:rPr>
        <w:t>4</w:t>
      </w:r>
      <w:r w:rsidR="00CB2E0B" w:rsidRPr="008C4AF3">
        <w:rPr>
          <w:color w:val="000000" w:themeColor="text1"/>
        </w:rPr>
        <w:t>.9.1</w:t>
      </w:r>
      <w:r w:rsidR="00CB2E0B" w:rsidRPr="008C4AF3">
        <w:rPr>
          <w:color w:val="000000" w:themeColor="text1"/>
        </w:rPr>
        <w:tab/>
        <w:t>In circumstances where the employee has not been able to move to a new permanent property (whether purchased or rented) by the time of starting work in the organisation, the organisation will give consideration to the reimbursement of the costs of temporary hotel, bed and breakfast or rental accommodation. In these circumstances either the rental cost will be reimbursed or the current long term night allowance subsistence rate as set out in Annex 14 of the NHS Terms and Conditions of Service Handbook, whichever is the lower.</w:t>
      </w:r>
    </w:p>
    <w:p w14:paraId="78312444" w14:textId="1ACC5F54" w:rsidR="00CB2E0B" w:rsidRPr="008C4AF3" w:rsidRDefault="00CB2E0B" w:rsidP="00036885">
      <w:pPr>
        <w:pStyle w:val="Default"/>
        <w:ind w:left="720" w:hanging="720"/>
        <w:rPr>
          <w:color w:val="000000" w:themeColor="text1"/>
        </w:rPr>
      </w:pPr>
    </w:p>
    <w:p w14:paraId="2D71CC9E" w14:textId="01C39E99" w:rsidR="00036885" w:rsidRPr="008C4AF3" w:rsidRDefault="00036885" w:rsidP="00036885">
      <w:pPr>
        <w:pStyle w:val="Default"/>
        <w:ind w:left="720" w:hanging="720"/>
        <w:rPr>
          <w:color w:val="000000" w:themeColor="text1"/>
        </w:rPr>
      </w:pPr>
    </w:p>
    <w:p w14:paraId="48A7F4DA" w14:textId="77777777" w:rsidR="00036885" w:rsidRPr="008C4AF3" w:rsidRDefault="00036885" w:rsidP="00036885">
      <w:pPr>
        <w:pStyle w:val="Default"/>
        <w:ind w:left="720" w:hanging="720"/>
        <w:rPr>
          <w:color w:val="000000" w:themeColor="text1"/>
        </w:rPr>
      </w:pPr>
    </w:p>
    <w:p w14:paraId="104941FD" w14:textId="344BFEB5" w:rsidR="00CB2E0B" w:rsidRPr="008C4AF3" w:rsidRDefault="00036885" w:rsidP="00036885">
      <w:pPr>
        <w:pStyle w:val="Default"/>
        <w:ind w:left="720" w:hanging="720"/>
        <w:rPr>
          <w:color w:val="000000" w:themeColor="text1"/>
        </w:rPr>
      </w:pPr>
      <w:r w:rsidRPr="008C4AF3">
        <w:rPr>
          <w:color w:val="000000" w:themeColor="text1"/>
        </w:rPr>
        <w:lastRenderedPageBreak/>
        <w:t>4</w:t>
      </w:r>
      <w:r w:rsidR="00CB2E0B" w:rsidRPr="008C4AF3">
        <w:rPr>
          <w:color w:val="000000" w:themeColor="text1"/>
        </w:rPr>
        <w:t>.9.2</w:t>
      </w:r>
      <w:r w:rsidR="00CB2E0B" w:rsidRPr="008C4AF3">
        <w:rPr>
          <w:color w:val="000000" w:themeColor="text1"/>
        </w:rPr>
        <w:tab/>
        <w:t>Temporary accommodation will be allowed for a maximum of three months.</w:t>
      </w:r>
    </w:p>
    <w:p w14:paraId="65752EFF" w14:textId="77777777" w:rsidR="00CB2E0B" w:rsidRPr="008C4AF3" w:rsidRDefault="00CB2E0B" w:rsidP="00036885">
      <w:pPr>
        <w:pStyle w:val="Default"/>
        <w:ind w:left="720" w:hanging="720"/>
        <w:rPr>
          <w:color w:val="000000" w:themeColor="text1"/>
        </w:rPr>
      </w:pPr>
    </w:p>
    <w:p w14:paraId="5B98CD4B" w14:textId="15116D69" w:rsidR="00CB2E0B" w:rsidRPr="008C4AF3" w:rsidRDefault="00036885" w:rsidP="00036885">
      <w:pPr>
        <w:pStyle w:val="Default"/>
        <w:ind w:left="720" w:hanging="720"/>
        <w:rPr>
          <w:b/>
          <w:color w:val="000000" w:themeColor="text1"/>
        </w:rPr>
      </w:pPr>
      <w:r w:rsidRPr="008C4AF3">
        <w:rPr>
          <w:b/>
          <w:color w:val="000000" w:themeColor="text1"/>
        </w:rPr>
        <w:t>4</w:t>
      </w:r>
      <w:r w:rsidR="00CB2E0B" w:rsidRPr="008C4AF3">
        <w:rPr>
          <w:b/>
          <w:color w:val="000000" w:themeColor="text1"/>
        </w:rPr>
        <w:t>.10</w:t>
      </w:r>
      <w:r w:rsidR="00CB2E0B" w:rsidRPr="008C4AF3">
        <w:rPr>
          <w:b/>
          <w:color w:val="000000" w:themeColor="text1"/>
        </w:rPr>
        <w:tab/>
        <w:t>Travel Expenses</w:t>
      </w:r>
    </w:p>
    <w:p w14:paraId="10089C3A" w14:textId="77777777" w:rsidR="00CB2E0B" w:rsidRPr="008C4AF3" w:rsidRDefault="00CB2E0B" w:rsidP="00036885">
      <w:pPr>
        <w:pStyle w:val="Default"/>
        <w:ind w:left="720" w:hanging="720"/>
        <w:rPr>
          <w:b/>
          <w:color w:val="000000" w:themeColor="text1"/>
        </w:rPr>
      </w:pPr>
    </w:p>
    <w:p w14:paraId="355E18B7" w14:textId="67DB5047" w:rsidR="00CB2E0B" w:rsidRPr="008C4AF3" w:rsidRDefault="00036885" w:rsidP="00036885">
      <w:pPr>
        <w:pStyle w:val="Default"/>
        <w:ind w:left="720" w:hanging="720"/>
        <w:rPr>
          <w:i/>
          <w:color w:val="000000" w:themeColor="text1"/>
        </w:rPr>
      </w:pPr>
      <w:r w:rsidRPr="008C4AF3">
        <w:rPr>
          <w:color w:val="000000" w:themeColor="text1"/>
        </w:rPr>
        <w:t>4</w:t>
      </w:r>
      <w:r w:rsidR="00CB2E0B" w:rsidRPr="008C4AF3">
        <w:rPr>
          <w:color w:val="000000" w:themeColor="text1"/>
        </w:rPr>
        <w:t>.10.1</w:t>
      </w:r>
      <w:r w:rsidR="00CB2E0B" w:rsidRPr="008C4AF3">
        <w:rPr>
          <w:color w:val="000000" w:themeColor="text1"/>
        </w:rPr>
        <w:tab/>
        <w:t xml:space="preserve">If the employee is travelling from his/her existing property to their organisation work base, rather than staying in temporary accommodation prior to relocating, the mileage can be claimed from the relocation allowance and will be paid at the reserve rate as set out in Section 17 of the NHS Terms and Conditions of Service Handbook. </w:t>
      </w:r>
    </w:p>
    <w:p w14:paraId="75E6EE6F" w14:textId="77777777" w:rsidR="00CB2E0B" w:rsidRPr="008C4AF3" w:rsidRDefault="00CB2E0B" w:rsidP="00036885">
      <w:pPr>
        <w:pStyle w:val="Default"/>
        <w:ind w:left="720" w:hanging="720"/>
        <w:rPr>
          <w:color w:val="000000" w:themeColor="text1"/>
        </w:rPr>
      </w:pPr>
    </w:p>
    <w:p w14:paraId="3755FCE1" w14:textId="1682BA3F" w:rsidR="00CB2E0B" w:rsidRPr="008C4AF3" w:rsidRDefault="00036885" w:rsidP="00036885">
      <w:pPr>
        <w:pStyle w:val="Default"/>
        <w:ind w:left="720" w:hanging="720"/>
        <w:rPr>
          <w:color w:val="000000" w:themeColor="text1"/>
        </w:rPr>
      </w:pPr>
      <w:r w:rsidRPr="008C4AF3">
        <w:rPr>
          <w:color w:val="000000" w:themeColor="text1"/>
        </w:rPr>
        <w:t>4</w:t>
      </w:r>
      <w:r w:rsidR="00CB2E0B" w:rsidRPr="008C4AF3">
        <w:rPr>
          <w:color w:val="000000" w:themeColor="text1"/>
        </w:rPr>
        <w:t>.10.2 Until relocation has been completed, mileage can also be claimed at the reserve rate, as set out in Section 17 of the NHS Terms and Conditions of Service Handbook, from the relocation allowance for the cost of travelling between the temporary accommodation and the property being sold. One return visit home per week will be reimbursed for a maximum period of three months.</w:t>
      </w:r>
    </w:p>
    <w:p w14:paraId="78D31495" w14:textId="77777777" w:rsidR="00CB2E0B" w:rsidRPr="008C4AF3" w:rsidRDefault="00CB2E0B" w:rsidP="00036885">
      <w:pPr>
        <w:pStyle w:val="Default"/>
        <w:ind w:left="720" w:hanging="720"/>
        <w:rPr>
          <w:color w:val="000000" w:themeColor="text1"/>
        </w:rPr>
      </w:pPr>
    </w:p>
    <w:p w14:paraId="54C997F5" w14:textId="3533F443" w:rsidR="00CB2E0B" w:rsidRPr="008C4AF3" w:rsidRDefault="00036885" w:rsidP="00036885">
      <w:pPr>
        <w:pStyle w:val="Default"/>
        <w:ind w:left="720" w:hanging="720"/>
        <w:rPr>
          <w:color w:val="000000" w:themeColor="text1"/>
        </w:rPr>
      </w:pPr>
      <w:r w:rsidRPr="008C4AF3">
        <w:rPr>
          <w:color w:val="000000" w:themeColor="text1"/>
        </w:rPr>
        <w:t>4</w:t>
      </w:r>
      <w:r w:rsidR="00CB2E0B" w:rsidRPr="008C4AF3">
        <w:rPr>
          <w:color w:val="000000" w:themeColor="text1"/>
        </w:rPr>
        <w:t>.10.3</w:t>
      </w:r>
      <w:r w:rsidR="00CB2E0B" w:rsidRPr="008C4AF3">
        <w:rPr>
          <w:color w:val="000000" w:themeColor="text1"/>
        </w:rPr>
        <w:tab/>
        <w:t>Mileage from the temporary accommodation to the new work base is not eligible for reimbursement.</w:t>
      </w:r>
    </w:p>
    <w:p w14:paraId="54D76759" w14:textId="77777777" w:rsidR="00CB2E0B" w:rsidRPr="008C4AF3" w:rsidRDefault="00CB2E0B" w:rsidP="00036885">
      <w:pPr>
        <w:pStyle w:val="Default"/>
        <w:ind w:left="720" w:hanging="720"/>
        <w:rPr>
          <w:color w:val="000000" w:themeColor="text1"/>
        </w:rPr>
      </w:pPr>
    </w:p>
    <w:p w14:paraId="66A496E6" w14:textId="05CC1725" w:rsidR="00CB2E0B" w:rsidRPr="008C4AF3" w:rsidRDefault="00036885" w:rsidP="00036885">
      <w:pPr>
        <w:pStyle w:val="Default"/>
        <w:ind w:left="720" w:hanging="720"/>
        <w:outlineLvl w:val="0"/>
        <w:rPr>
          <w:b/>
          <w:color w:val="000000" w:themeColor="text1"/>
          <w:sz w:val="28"/>
          <w:szCs w:val="28"/>
        </w:rPr>
      </w:pPr>
      <w:bookmarkStart w:id="6" w:name="_Toc106795340"/>
      <w:r w:rsidRPr="008C4AF3">
        <w:rPr>
          <w:b/>
          <w:color w:val="000000" w:themeColor="text1"/>
          <w:sz w:val="28"/>
          <w:szCs w:val="28"/>
        </w:rPr>
        <w:t>5</w:t>
      </w:r>
      <w:r w:rsidR="00CB2E0B" w:rsidRPr="008C4AF3">
        <w:rPr>
          <w:b/>
          <w:color w:val="000000" w:themeColor="text1"/>
          <w:sz w:val="28"/>
          <w:szCs w:val="28"/>
        </w:rPr>
        <w:t>.</w:t>
      </w:r>
      <w:r w:rsidR="00CB2E0B" w:rsidRPr="008C4AF3">
        <w:rPr>
          <w:b/>
          <w:color w:val="000000" w:themeColor="text1"/>
          <w:sz w:val="28"/>
          <w:szCs w:val="28"/>
        </w:rPr>
        <w:tab/>
        <w:t>PROCEDURE FOR CLAIMING EXPENSES</w:t>
      </w:r>
      <w:bookmarkEnd w:id="6"/>
    </w:p>
    <w:p w14:paraId="533DE007" w14:textId="77777777" w:rsidR="00CB2E0B" w:rsidRPr="008C4AF3" w:rsidRDefault="00CB2E0B" w:rsidP="00036885">
      <w:pPr>
        <w:pStyle w:val="Default"/>
        <w:ind w:left="720" w:hanging="720"/>
        <w:rPr>
          <w:b/>
          <w:color w:val="000000" w:themeColor="text1"/>
        </w:rPr>
      </w:pPr>
    </w:p>
    <w:p w14:paraId="07C84AA8" w14:textId="09155FDB" w:rsidR="00CB2E0B" w:rsidRPr="008C4AF3" w:rsidRDefault="00036885" w:rsidP="00036885">
      <w:pPr>
        <w:pStyle w:val="Default"/>
        <w:ind w:left="720" w:hanging="720"/>
        <w:rPr>
          <w:color w:val="000000" w:themeColor="text1"/>
        </w:rPr>
      </w:pPr>
      <w:r w:rsidRPr="008C4AF3">
        <w:rPr>
          <w:color w:val="000000" w:themeColor="text1"/>
        </w:rPr>
        <w:t>5</w:t>
      </w:r>
      <w:r w:rsidR="00CB2E0B" w:rsidRPr="008C4AF3">
        <w:rPr>
          <w:color w:val="000000" w:themeColor="text1"/>
        </w:rPr>
        <w:t>.1</w:t>
      </w:r>
      <w:r w:rsidR="00CB2E0B" w:rsidRPr="008C4AF3">
        <w:rPr>
          <w:color w:val="000000" w:themeColor="text1"/>
        </w:rPr>
        <w:tab/>
        <w:t>All expense claim forms containing relocation expenses, and supported by valid receipts/invoices/quotes, should be submitted in accordance with the relevant expense claim procedure.</w:t>
      </w:r>
    </w:p>
    <w:p w14:paraId="29E4C7E7" w14:textId="77777777" w:rsidR="00CB2E0B" w:rsidRPr="008C4AF3" w:rsidRDefault="00CB2E0B" w:rsidP="00036885">
      <w:pPr>
        <w:pStyle w:val="Default"/>
        <w:ind w:left="720" w:hanging="720"/>
        <w:rPr>
          <w:color w:val="000000" w:themeColor="text1"/>
        </w:rPr>
      </w:pPr>
    </w:p>
    <w:p w14:paraId="48D5BD96" w14:textId="09147DDB" w:rsidR="00CB2E0B" w:rsidRPr="008C4AF3" w:rsidRDefault="00036885" w:rsidP="00036885">
      <w:pPr>
        <w:pStyle w:val="Default"/>
        <w:ind w:left="720" w:hanging="720"/>
        <w:outlineLvl w:val="0"/>
        <w:rPr>
          <w:b/>
          <w:color w:val="000000" w:themeColor="text1"/>
          <w:sz w:val="28"/>
          <w:szCs w:val="28"/>
        </w:rPr>
      </w:pPr>
      <w:bookmarkStart w:id="7" w:name="_Toc106795341"/>
      <w:r w:rsidRPr="008C4AF3">
        <w:rPr>
          <w:b/>
          <w:color w:val="000000" w:themeColor="text1"/>
          <w:sz w:val="28"/>
          <w:szCs w:val="28"/>
        </w:rPr>
        <w:t>6</w:t>
      </w:r>
      <w:r w:rsidR="00CB2E0B" w:rsidRPr="008C4AF3">
        <w:rPr>
          <w:b/>
          <w:color w:val="000000" w:themeColor="text1"/>
          <w:sz w:val="28"/>
          <w:szCs w:val="28"/>
        </w:rPr>
        <w:t>.</w:t>
      </w:r>
      <w:r w:rsidR="00CB2E0B" w:rsidRPr="008C4AF3">
        <w:rPr>
          <w:b/>
          <w:color w:val="000000" w:themeColor="text1"/>
          <w:sz w:val="28"/>
          <w:szCs w:val="28"/>
        </w:rPr>
        <w:tab/>
        <w:t>REPAYMENT OF RELOCATION EXPENSES</w:t>
      </w:r>
      <w:bookmarkEnd w:id="7"/>
    </w:p>
    <w:p w14:paraId="4AD70712" w14:textId="77777777" w:rsidR="00CB2E0B" w:rsidRPr="008C4AF3" w:rsidRDefault="00CB2E0B" w:rsidP="00036885">
      <w:pPr>
        <w:pStyle w:val="Default"/>
        <w:ind w:left="720" w:hanging="720"/>
        <w:rPr>
          <w:b/>
          <w:color w:val="000000" w:themeColor="text1"/>
        </w:rPr>
      </w:pPr>
    </w:p>
    <w:p w14:paraId="363726BD" w14:textId="426DDD17" w:rsidR="00CB2E0B" w:rsidRPr="008C4AF3" w:rsidRDefault="00036885" w:rsidP="00036885">
      <w:pPr>
        <w:pStyle w:val="Default"/>
        <w:ind w:left="720" w:hanging="720"/>
        <w:rPr>
          <w:color w:val="000000" w:themeColor="text1"/>
        </w:rPr>
      </w:pPr>
      <w:r w:rsidRPr="008C4AF3">
        <w:rPr>
          <w:color w:val="000000" w:themeColor="text1"/>
        </w:rPr>
        <w:t>6</w:t>
      </w:r>
      <w:r w:rsidR="00CB2E0B" w:rsidRPr="008C4AF3">
        <w:rPr>
          <w:color w:val="000000" w:themeColor="text1"/>
        </w:rPr>
        <w:t>.1</w:t>
      </w:r>
      <w:r w:rsidR="00CB2E0B" w:rsidRPr="008C4AF3">
        <w:rPr>
          <w:color w:val="000000" w:themeColor="text1"/>
        </w:rPr>
        <w:tab/>
        <w:t>Employees will be offered relocation expenses only if they agree to repay some, or all, of the amount given by the organisation in the event their employment terminates for whatever reason within two years from the commencement of the employment.</w:t>
      </w:r>
    </w:p>
    <w:p w14:paraId="7CD5FB65" w14:textId="77777777" w:rsidR="00CB2E0B" w:rsidRPr="008C4AF3" w:rsidRDefault="00CB2E0B" w:rsidP="00036885">
      <w:pPr>
        <w:pStyle w:val="Default"/>
        <w:ind w:left="720" w:hanging="720"/>
        <w:rPr>
          <w:color w:val="000000" w:themeColor="text1"/>
        </w:rPr>
      </w:pPr>
    </w:p>
    <w:p w14:paraId="381A509F" w14:textId="02B370D7" w:rsidR="00CB2E0B" w:rsidRPr="008C4AF3" w:rsidRDefault="00036885" w:rsidP="00036885">
      <w:pPr>
        <w:pStyle w:val="Default"/>
        <w:ind w:left="720" w:hanging="720"/>
        <w:rPr>
          <w:color w:val="000000" w:themeColor="text1"/>
        </w:rPr>
      </w:pPr>
      <w:r w:rsidRPr="008C4AF3">
        <w:rPr>
          <w:color w:val="000000" w:themeColor="text1"/>
        </w:rPr>
        <w:t>6</w:t>
      </w:r>
      <w:r w:rsidR="00CB2E0B" w:rsidRPr="008C4AF3">
        <w:rPr>
          <w:color w:val="000000" w:themeColor="text1"/>
        </w:rPr>
        <w:t>.2</w:t>
      </w:r>
      <w:r w:rsidR="00CB2E0B" w:rsidRPr="008C4AF3">
        <w:rPr>
          <w:color w:val="000000" w:themeColor="text1"/>
        </w:rPr>
        <w:tab/>
        <w:t xml:space="preserve">Those offered relocation expenses will be required to sign an agreement to this effect. The agreement is enclosed </w:t>
      </w:r>
      <w:r w:rsidR="00431C0B" w:rsidRPr="008C4AF3">
        <w:rPr>
          <w:color w:val="000000" w:themeColor="text1"/>
        </w:rPr>
        <w:t>in the Resource Pack</w:t>
      </w:r>
      <w:r w:rsidR="00CB2E0B" w:rsidRPr="008C4AF3">
        <w:rPr>
          <w:color w:val="000000" w:themeColor="text1"/>
        </w:rPr>
        <w:t>.</w:t>
      </w:r>
    </w:p>
    <w:p w14:paraId="6493B236" w14:textId="77777777" w:rsidR="00CB2E0B" w:rsidRPr="008C4AF3" w:rsidRDefault="00CB2E0B" w:rsidP="00036885">
      <w:pPr>
        <w:pStyle w:val="Default"/>
        <w:ind w:left="720" w:hanging="720"/>
        <w:rPr>
          <w:color w:val="000000" w:themeColor="text1"/>
        </w:rPr>
      </w:pPr>
    </w:p>
    <w:p w14:paraId="1128A247" w14:textId="4DD83594" w:rsidR="00CB2E0B" w:rsidRPr="008C4AF3" w:rsidRDefault="00036885" w:rsidP="00036885">
      <w:pPr>
        <w:pStyle w:val="Default"/>
        <w:ind w:left="720" w:hanging="720"/>
        <w:rPr>
          <w:color w:val="000000" w:themeColor="text1"/>
        </w:rPr>
      </w:pPr>
      <w:r w:rsidRPr="008C4AF3">
        <w:rPr>
          <w:color w:val="000000" w:themeColor="text1"/>
        </w:rPr>
        <w:t>6</w:t>
      </w:r>
      <w:r w:rsidR="00CB2E0B" w:rsidRPr="008C4AF3">
        <w:rPr>
          <w:color w:val="000000" w:themeColor="text1"/>
        </w:rPr>
        <w:t>.3</w:t>
      </w:r>
      <w:r w:rsidR="00CB2E0B" w:rsidRPr="008C4AF3">
        <w:rPr>
          <w:color w:val="000000" w:themeColor="text1"/>
        </w:rPr>
        <w:tab/>
        <w:t>The amount payable is reduced proportionally and is as follows:</w:t>
      </w:r>
    </w:p>
    <w:p w14:paraId="5EE63D68" w14:textId="77777777" w:rsidR="00CB2E0B" w:rsidRPr="008C4AF3" w:rsidRDefault="00CB2E0B" w:rsidP="00036885">
      <w:pPr>
        <w:pStyle w:val="Default"/>
        <w:ind w:left="720" w:hanging="720"/>
        <w:rPr>
          <w:color w:val="000000" w:themeColor="text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4148"/>
      </w:tblGrid>
      <w:tr w:rsidR="008C4AF3" w:rsidRPr="008C4AF3" w14:paraId="7553DACB" w14:textId="77777777" w:rsidTr="00CB2E0B">
        <w:tc>
          <w:tcPr>
            <w:tcW w:w="4337" w:type="dxa"/>
            <w:tcBorders>
              <w:top w:val="single" w:sz="4" w:space="0" w:color="000000"/>
              <w:left w:val="single" w:sz="4" w:space="0" w:color="000000"/>
              <w:bottom w:val="single" w:sz="4" w:space="0" w:color="000000"/>
              <w:right w:val="single" w:sz="4" w:space="0" w:color="000000"/>
            </w:tcBorders>
            <w:hideMark/>
          </w:tcPr>
          <w:p w14:paraId="41CEA0CA" w14:textId="77777777" w:rsidR="00CB2E0B" w:rsidRPr="008C4AF3" w:rsidRDefault="00CB2E0B" w:rsidP="00036885">
            <w:pPr>
              <w:pStyle w:val="Default"/>
              <w:rPr>
                <w:color w:val="000000" w:themeColor="text1"/>
              </w:rPr>
            </w:pPr>
            <w:r w:rsidRPr="008C4AF3">
              <w:rPr>
                <w:color w:val="000000" w:themeColor="text1"/>
              </w:rPr>
              <w:t>Period of service (from the date of payment of expenses)</w:t>
            </w:r>
          </w:p>
        </w:tc>
        <w:tc>
          <w:tcPr>
            <w:tcW w:w="4337" w:type="dxa"/>
            <w:tcBorders>
              <w:top w:val="single" w:sz="4" w:space="0" w:color="000000"/>
              <w:left w:val="single" w:sz="4" w:space="0" w:color="000000"/>
              <w:bottom w:val="single" w:sz="4" w:space="0" w:color="000000"/>
              <w:right w:val="single" w:sz="4" w:space="0" w:color="000000"/>
            </w:tcBorders>
            <w:hideMark/>
          </w:tcPr>
          <w:p w14:paraId="2EFB2F57" w14:textId="77777777" w:rsidR="00CB2E0B" w:rsidRPr="008C4AF3" w:rsidRDefault="00CB2E0B" w:rsidP="00036885">
            <w:pPr>
              <w:pStyle w:val="Default"/>
              <w:rPr>
                <w:color w:val="000000" w:themeColor="text1"/>
              </w:rPr>
            </w:pPr>
            <w:r w:rsidRPr="008C4AF3">
              <w:rPr>
                <w:color w:val="000000" w:themeColor="text1"/>
              </w:rPr>
              <w:t>Amount to be repaid (as % of total relocation expenses)</w:t>
            </w:r>
          </w:p>
        </w:tc>
      </w:tr>
      <w:tr w:rsidR="008C4AF3" w:rsidRPr="008C4AF3" w14:paraId="705360E0" w14:textId="77777777" w:rsidTr="00CB2E0B">
        <w:tc>
          <w:tcPr>
            <w:tcW w:w="4337" w:type="dxa"/>
            <w:tcBorders>
              <w:top w:val="single" w:sz="4" w:space="0" w:color="000000"/>
              <w:left w:val="single" w:sz="4" w:space="0" w:color="000000"/>
              <w:bottom w:val="single" w:sz="4" w:space="0" w:color="000000"/>
              <w:right w:val="single" w:sz="4" w:space="0" w:color="000000"/>
            </w:tcBorders>
            <w:hideMark/>
          </w:tcPr>
          <w:p w14:paraId="2CFD94CF" w14:textId="77777777" w:rsidR="00CB2E0B" w:rsidRPr="008C4AF3" w:rsidRDefault="00CB2E0B" w:rsidP="00036885">
            <w:pPr>
              <w:pStyle w:val="Default"/>
              <w:rPr>
                <w:color w:val="000000" w:themeColor="text1"/>
              </w:rPr>
            </w:pPr>
            <w:r w:rsidRPr="008C4AF3">
              <w:rPr>
                <w:color w:val="000000" w:themeColor="text1"/>
              </w:rPr>
              <w:t>Less than 12 months</w:t>
            </w:r>
          </w:p>
        </w:tc>
        <w:tc>
          <w:tcPr>
            <w:tcW w:w="4337" w:type="dxa"/>
            <w:tcBorders>
              <w:top w:val="single" w:sz="4" w:space="0" w:color="000000"/>
              <w:left w:val="single" w:sz="4" w:space="0" w:color="000000"/>
              <w:bottom w:val="single" w:sz="4" w:space="0" w:color="000000"/>
              <w:right w:val="single" w:sz="4" w:space="0" w:color="000000"/>
            </w:tcBorders>
            <w:hideMark/>
          </w:tcPr>
          <w:p w14:paraId="174294CE" w14:textId="77777777" w:rsidR="00CB2E0B" w:rsidRPr="008C4AF3" w:rsidRDefault="00CB2E0B" w:rsidP="00036885">
            <w:pPr>
              <w:pStyle w:val="Default"/>
              <w:rPr>
                <w:color w:val="000000" w:themeColor="text1"/>
              </w:rPr>
            </w:pPr>
            <w:r w:rsidRPr="008C4AF3">
              <w:rPr>
                <w:color w:val="000000" w:themeColor="text1"/>
              </w:rPr>
              <w:t>100%</w:t>
            </w:r>
          </w:p>
        </w:tc>
      </w:tr>
      <w:tr w:rsidR="008C4AF3" w:rsidRPr="008C4AF3" w14:paraId="5837779F" w14:textId="77777777" w:rsidTr="00CB2E0B">
        <w:tc>
          <w:tcPr>
            <w:tcW w:w="4337" w:type="dxa"/>
            <w:tcBorders>
              <w:top w:val="single" w:sz="4" w:space="0" w:color="000000"/>
              <w:left w:val="single" w:sz="4" w:space="0" w:color="000000"/>
              <w:bottom w:val="single" w:sz="4" w:space="0" w:color="000000"/>
              <w:right w:val="single" w:sz="4" w:space="0" w:color="000000"/>
            </w:tcBorders>
            <w:hideMark/>
          </w:tcPr>
          <w:p w14:paraId="49B85A80" w14:textId="77777777" w:rsidR="00CB2E0B" w:rsidRPr="008C4AF3" w:rsidRDefault="00CB2E0B" w:rsidP="00036885">
            <w:pPr>
              <w:pStyle w:val="Default"/>
              <w:rPr>
                <w:color w:val="000000" w:themeColor="text1"/>
              </w:rPr>
            </w:pPr>
            <w:r w:rsidRPr="008C4AF3">
              <w:rPr>
                <w:color w:val="000000" w:themeColor="text1"/>
              </w:rPr>
              <w:t>12-18 months</w:t>
            </w:r>
          </w:p>
        </w:tc>
        <w:tc>
          <w:tcPr>
            <w:tcW w:w="4337" w:type="dxa"/>
            <w:tcBorders>
              <w:top w:val="single" w:sz="4" w:space="0" w:color="000000"/>
              <w:left w:val="single" w:sz="4" w:space="0" w:color="000000"/>
              <w:bottom w:val="single" w:sz="4" w:space="0" w:color="000000"/>
              <w:right w:val="single" w:sz="4" w:space="0" w:color="000000"/>
            </w:tcBorders>
            <w:hideMark/>
          </w:tcPr>
          <w:p w14:paraId="4074B458" w14:textId="77777777" w:rsidR="00CB2E0B" w:rsidRPr="008C4AF3" w:rsidRDefault="00CB2E0B" w:rsidP="00036885">
            <w:pPr>
              <w:pStyle w:val="Default"/>
              <w:rPr>
                <w:color w:val="000000" w:themeColor="text1"/>
              </w:rPr>
            </w:pPr>
            <w:r w:rsidRPr="008C4AF3">
              <w:rPr>
                <w:color w:val="000000" w:themeColor="text1"/>
              </w:rPr>
              <w:t>75%</w:t>
            </w:r>
          </w:p>
        </w:tc>
      </w:tr>
      <w:tr w:rsidR="00CB2E0B" w:rsidRPr="008C4AF3" w14:paraId="42B62335" w14:textId="77777777" w:rsidTr="00CB2E0B">
        <w:tc>
          <w:tcPr>
            <w:tcW w:w="4337" w:type="dxa"/>
            <w:tcBorders>
              <w:top w:val="single" w:sz="4" w:space="0" w:color="000000"/>
              <w:left w:val="single" w:sz="4" w:space="0" w:color="000000"/>
              <w:bottom w:val="single" w:sz="4" w:space="0" w:color="000000"/>
              <w:right w:val="single" w:sz="4" w:space="0" w:color="000000"/>
            </w:tcBorders>
            <w:hideMark/>
          </w:tcPr>
          <w:p w14:paraId="62F4FEED" w14:textId="77777777" w:rsidR="00CB2E0B" w:rsidRPr="008C4AF3" w:rsidRDefault="00CB2E0B" w:rsidP="00036885">
            <w:pPr>
              <w:pStyle w:val="Default"/>
              <w:rPr>
                <w:color w:val="000000" w:themeColor="text1"/>
              </w:rPr>
            </w:pPr>
            <w:r w:rsidRPr="008C4AF3">
              <w:rPr>
                <w:color w:val="000000" w:themeColor="text1"/>
              </w:rPr>
              <w:t>18-24 months</w:t>
            </w:r>
          </w:p>
        </w:tc>
        <w:tc>
          <w:tcPr>
            <w:tcW w:w="4337" w:type="dxa"/>
            <w:tcBorders>
              <w:top w:val="single" w:sz="4" w:space="0" w:color="000000"/>
              <w:left w:val="single" w:sz="4" w:space="0" w:color="000000"/>
              <w:bottom w:val="single" w:sz="4" w:space="0" w:color="000000"/>
              <w:right w:val="single" w:sz="4" w:space="0" w:color="000000"/>
            </w:tcBorders>
            <w:hideMark/>
          </w:tcPr>
          <w:p w14:paraId="6BE4C713" w14:textId="77777777" w:rsidR="00CB2E0B" w:rsidRPr="008C4AF3" w:rsidRDefault="00CB2E0B" w:rsidP="00036885">
            <w:pPr>
              <w:pStyle w:val="Default"/>
              <w:rPr>
                <w:color w:val="000000" w:themeColor="text1"/>
              </w:rPr>
            </w:pPr>
            <w:r w:rsidRPr="008C4AF3">
              <w:rPr>
                <w:color w:val="000000" w:themeColor="text1"/>
              </w:rPr>
              <w:t>50%</w:t>
            </w:r>
          </w:p>
        </w:tc>
      </w:tr>
    </w:tbl>
    <w:p w14:paraId="6071731B" w14:textId="77777777" w:rsidR="00CB2E0B" w:rsidRPr="008C4AF3" w:rsidRDefault="00CB2E0B" w:rsidP="00036885">
      <w:pPr>
        <w:pStyle w:val="Default"/>
        <w:ind w:left="720" w:hanging="720"/>
        <w:rPr>
          <w:color w:val="000000" w:themeColor="text1"/>
        </w:rPr>
      </w:pPr>
    </w:p>
    <w:p w14:paraId="7B59BE41" w14:textId="74204496" w:rsidR="00CB2E0B" w:rsidRPr="008C4AF3" w:rsidRDefault="00036885" w:rsidP="00036885">
      <w:pPr>
        <w:pStyle w:val="Default"/>
        <w:ind w:left="720" w:hanging="720"/>
        <w:rPr>
          <w:color w:val="000000" w:themeColor="text1"/>
        </w:rPr>
      </w:pPr>
      <w:r w:rsidRPr="008C4AF3">
        <w:rPr>
          <w:color w:val="000000" w:themeColor="text1"/>
        </w:rPr>
        <w:t>6</w:t>
      </w:r>
      <w:r w:rsidR="00CB2E0B" w:rsidRPr="008C4AF3">
        <w:rPr>
          <w:color w:val="000000" w:themeColor="text1"/>
        </w:rPr>
        <w:t>.4</w:t>
      </w:r>
      <w:r w:rsidR="00CB2E0B" w:rsidRPr="008C4AF3">
        <w:rPr>
          <w:color w:val="000000" w:themeColor="text1"/>
        </w:rPr>
        <w:tab/>
        <w:t>Repayment will not be required if the reason for termination of the employee’s employment is redundancy.</w:t>
      </w:r>
    </w:p>
    <w:p w14:paraId="3CE4AF96" w14:textId="77777777" w:rsidR="00CB2E0B" w:rsidRPr="008C4AF3" w:rsidRDefault="00CB2E0B" w:rsidP="00036885">
      <w:pPr>
        <w:pStyle w:val="Default"/>
        <w:ind w:left="720" w:hanging="720"/>
        <w:rPr>
          <w:color w:val="000000" w:themeColor="text1"/>
        </w:rPr>
      </w:pPr>
    </w:p>
    <w:p w14:paraId="2C30DD98" w14:textId="77E0E6B3" w:rsidR="00CB2E0B" w:rsidRPr="008C4AF3" w:rsidRDefault="00036885" w:rsidP="00036885">
      <w:pPr>
        <w:pStyle w:val="Default"/>
        <w:ind w:left="720" w:hanging="720"/>
        <w:rPr>
          <w:color w:val="000000" w:themeColor="text1"/>
        </w:rPr>
      </w:pPr>
      <w:r w:rsidRPr="008C4AF3">
        <w:rPr>
          <w:color w:val="000000" w:themeColor="text1"/>
        </w:rPr>
        <w:t>6</w:t>
      </w:r>
      <w:r w:rsidR="00CB2E0B" w:rsidRPr="008C4AF3">
        <w:rPr>
          <w:color w:val="000000" w:themeColor="text1"/>
        </w:rPr>
        <w:t>.5</w:t>
      </w:r>
      <w:r w:rsidR="00CB2E0B" w:rsidRPr="008C4AF3">
        <w:rPr>
          <w:color w:val="000000" w:themeColor="text1"/>
        </w:rPr>
        <w:tab/>
        <w:t>In the event the employee does not relocate, he/she will be asked to repay all or part of any relocation expenses given.</w:t>
      </w:r>
    </w:p>
    <w:p w14:paraId="69B1CA5C" w14:textId="09FF58EB" w:rsidR="00CB2E0B" w:rsidRPr="008C4AF3" w:rsidRDefault="00CB2E0B" w:rsidP="00036885">
      <w:pPr>
        <w:pStyle w:val="Default"/>
        <w:rPr>
          <w:color w:val="000000" w:themeColor="text1"/>
        </w:rPr>
      </w:pPr>
    </w:p>
    <w:p w14:paraId="2402D476" w14:textId="1B9D8956" w:rsidR="00036885" w:rsidRPr="008C4AF3" w:rsidRDefault="00036885" w:rsidP="00036885">
      <w:pPr>
        <w:pStyle w:val="Default"/>
        <w:rPr>
          <w:color w:val="000000" w:themeColor="text1"/>
        </w:rPr>
      </w:pPr>
    </w:p>
    <w:p w14:paraId="05AA7340" w14:textId="77777777" w:rsidR="00036885" w:rsidRPr="008C4AF3" w:rsidRDefault="00036885" w:rsidP="00036885">
      <w:pPr>
        <w:pStyle w:val="Default"/>
        <w:rPr>
          <w:color w:val="000000" w:themeColor="text1"/>
        </w:rPr>
      </w:pPr>
    </w:p>
    <w:p w14:paraId="64AD29D3" w14:textId="6E691B8C" w:rsidR="00CB2E0B" w:rsidRPr="008C4AF3" w:rsidRDefault="00036885" w:rsidP="00036885">
      <w:pPr>
        <w:pStyle w:val="Heading1"/>
        <w:rPr>
          <w:rFonts w:ascii="Arial" w:hAnsi="Arial" w:cs="Arial"/>
          <w:b/>
          <w:color w:val="000000" w:themeColor="text1"/>
          <w:sz w:val="28"/>
          <w:szCs w:val="28"/>
        </w:rPr>
      </w:pPr>
      <w:bookmarkStart w:id="8" w:name="_Toc106795342"/>
      <w:r w:rsidRPr="008C4AF3">
        <w:rPr>
          <w:rFonts w:ascii="Arial" w:hAnsi="Arial" w:cs="Arial"/>
          <w:b/>
          <w:color w:val="000000" w:themeColor="text1"/>
          <w:sz w:val="28"/>
          <w:szCs w:val="28"/>
        </w:rPr>
        <w:t>7</w:t>
      </w:r>
      <w:r w:rsidR="00CB2E0B" w:rsidRPr="008C4AF3">
        <w:rPr>
          <w:rFonts w:ascii="Arial" w:hAnsi="Arial" w:cs="Arial"/>
          <w:b/>
          <w:color w:val="000000" w:themeColor="text1"/>
          <w:sz w:val="28"/>
          <w:szCs w:val="28"/>
        </w:rPr>
        <w:t>.</w:t>
      </w:r>
      <w:r w:rsidR="00CB2E0B" w:rsidRPr="008C4AF3">
        <w:rPr>
          <w:rFonts w:ascii="Arial" w:hAnsi="Arial" w:cs="Arial"/>
          <w:b/>
          <w:color w:val="000000" w:themeColor="text1"/>
          <w:sz w:val="28"/>
          <w:szCs w:val="28"/>
        </w:rPr>
        <w:tab/>
        <w:t>EQUALITY</w:t>
      </w:r>
      <w:bookmarkEnd w:id="8"/>
    </w:p>
    <w:p w14:paraId="5152BE39" w14:textId="77777777" w:rsidR="00036885" w:rsidRPr="008C4AF3" w:rsidRDefault="00036885" w:rsidP="00036885">
      <w:pPr>
        <w:spacing w:after="0" w:line="240" w:lineRule="auto"/>
        <w:ind w:left="720" w:hanging="720"/>
        <w:jc w:val="both"/>
        <w:rPr>
          <w:rFonts w:ascii="Arial" w:hAnsi="Arial" w:cs="Arial"/>
          <w:b/>
          <w:color w:val="000000" w:themeColor="text1"/>
          <w:sz w:val="24"/>
          <w:szCs w:val="24"/>
        </w:rPr>
      </w:pPr>
    </w:p>
    <w:p w14:paraId="10C70020" w14:textId="7F9B41A6" w:rsidR="00CB2E0B" w:rsidRPr="008C4AF3" w:rsidRDefault="00036885" w:rsidP="00036885">
      <w:pPr>
        <w:spacing w:after="0" w:line="240" w:lineRule="auto"/>
        <w:ind w:left="720" w:hanging="720"/>
        <w:jc w:val="both"/>
        <w:rPr>
          <w:rFonts w:ascii="Arial" w:hAnsi="Arial" w:cs="Arial"/>
          <w:color w:val="000000" w:themeColor="text1"/>
          <w:sz w:val="24"/>
          <w:szCs w:val="24"/>
        </w:rPr>
      </w:pPr>
      <w:r w:rsidRPr="008C4AF3">
        <w:rPr>
          <w:rFonts w:ascii="Arial" w:hAnsi="Arial" w:cs="Arial"/>
          <w:color w:val="000000" w:themeColor="text1"/>
          <w:sz w:val="24"/>
          <w:szCs w:val="24"/>
        </w:rPr>
        <w:t>7</w:t>
      </w:r>
      <w:r w:rsidR="00CB2E0B" w:rsidRPr="008C4AF3">
        <w:rPr>
          <w:rFonts w:ascii="Arial" w:hAnsi="Arial" w:cs="Arial"/>
          <w:color w:val="000000" w:themeColor="text1"/>
          <w:sz w:val="24"/>
          <w:szCs w:val="24"/>
        </w:rPr>
        <w:t>.1</w:t>
      </w:r>
      <w:r w:rsidR="00CB2E0B" w:rsidRPr="008C4AF3">
        <w:rPr>
          <w:rFonts w:ascii="Arial" w:hAnsi="Arial" w:cs="Arial"/>
          <w:color w:val="000000" w:themeColor="text1"/>
          <w:sz w:val="24"/>
          <w:szCs w:val="24"/>
        </w:rPr>
        <w:tab/>
        <w:t>In applying this policy, the organisation will have due regard for the need to eliminate unlawful discrimination</w:t>
      </w:r>
      <w:r w:rsidR="00CB2E0B" w:rsidRPr="008C4AF3">
        <w:rPr>
          <w:rFonts w:ascii="Arial" w:hAnsi="Arial" w:cs="Arial"/>
          <w:b/>
          <w:color w:val="000000" w:themeColor="text1"/>
          <w:sz w:val="24"/>
          <w:szCs w:val="24"/>
        </w:rPr>
        <w:t xml:space="preserve">, </w:t>
      </w:r>
      <w:r w:rsidR="00CB2E0B" w:rsidRPr="008C4AF3">
        <w:rPr>
          <w:rFonts w:ascii="Arial" w:hAnsi="Arial" w:cs="Arial"/>
          <w:color w:val="000000" w:themeColor="text1"/>
          <w:sz w:val="24"/>
          <w:szCs w:val="24"/>
        </w:rPr>
        <w:t>promote equality of opportunity</w:t>
      </w:r>
      <w:r w:rsidR="00CB2E0B" w:rsidRPr="008C4AF3">
        <w:rPr>
          <w:rFonts w:ascii="Arial" w:hAnsi="Arial" w:cs="Arial"/>
          <w:b/>
          <w:color w:val="000000" w:themeColor="text1"/>
          <w:sz w:val="24"/>
          <w:szCs w:val="24"/>
        </w:rPr>
        <w:t xml:space="preserve">, </w:t>
      </w:r>
      <w:r w:rsidR="00CB2E0B" w:rsidRPr="008C4AF3">
        <w:rPr>
          <w:rFonts w:ascii="Arial" w:hAnsi="Arial" w:cs="Arial"/>
          <w:color w:val="000000" w:themeColor="text1"/>
          <w:sz w:val="24"/>
          <w:szCs w:val="24"/>
        </w:rPr>
        <w:t>and provide for good relations between people of diverse groups, in particular on the grounds of the following characteristics protected by the Equality Act (2010); age, disability, gender reassignment, marriage or civil partnership, pregnancy and maternity, race, religion or belief, sex and sexual orientation.</w:t>
      </w:r>
    </w:p>
    <w:p w14:paraId="545C472A" w14:textId="77777777" w:rsidR="00CB2E0B" w:rsidRPr="008C4AF3" w:rsidRDefault="00CB2E0B" w:rsidP="00036885">
      <w:pPr>
        <w:pStyle w:val="Default"/>
        <w:rPr>
          <w:color w:val="000000" w:themeColor="text1"/>
        </w:rPr>
      </w:pPr>
    </w:p>
    <w:p w14:paraId="7322EB60" w14:textId="5E41262A" w:rsidR="00CB2E0B" w:rsidRPr="008C4AF3" w:rsidRDefault="00036885" w:rsidP="00036885">
      <w:pPr>
        <w:pStyle w:val="Default"/>
        <w:outlineLvl w:val="0"/>
        <w:rPr>
          <w:b/>
          <w:color w:val="000000" w:themeColor="text1"/>
          <w:sz w:val="28"/>
          <w:szCs w:val="28"/>
        </w:rPr>
      </w:pPr>
      <w:bookmarkStart w:id="9" w:name="_Toc106795343"/>
      <w:r w:rsidRPr="008C4AF3">
        <w:rPr>
          <w:b/>
          <w:color w:val="000000" w:themeColor="text1"/>
          <w:sz w:val="28"/>
          <w:szCs w:val="28"/>
        </w:rPr>
        <w:t>8</w:t>
      </w:r>
      <w:r w:rsidR="00CB2E0B" w:rsidRPr="008C4AF3">
        <w:rPr>
          <w:b/>
          <w:color w:val="000000" w:themeColor="text1"/>
          <w:sz w:val="28"/>
          <w:szCs w:val="28"/>
        </w:rPr>
        <w:t>.</w:t>
      </w:r>
      <w:r w:rsidR="00CB2E0B" w:rsidRPr="008C4AF3">
        <w:rPr>
          <w:b/>
          <w:color w:val="000000" w:themeColor="text1"/>
          <w:sz w:val="28"/>
          <w:szCs w:val="28"/>
        </w:rPr>
        <w:tab/>
        <w:t>DATA PROTECTION</w:t>
      </w:r>
      <w:bookmarkEnd w:id="9"/>
    </w:p>
    <w:p w14:paraId="1DACA8E7" w14:textId="77777777" w:rsidR="00CB2E0B" w:rsidRPr="008C4AF3" w:rsidRDefault="00CB2E0B" w:rsidP="00036885">
      <w:pPr>
        <w:pStyle w:val="Default"/>
        <w:rPr>
          <w:color w:val="000000" w:themeColor="text1"/>
        </w:rPr>
      </w:pPr>
    </w:p>
    <w:p w14:paraId="03D87678" w14:textId="3D057443" w:rsidR="00CB2E0B" w:rsidRPr="008C4AF3" w:rsidRDefault="00036885" w:rsidP="00036885">
      <w:pPr>
        <w:pStyle w:val="ListParagraph"/>
        <w:spacing w:after="0" w:line="240" w:lineRule="auto"/>
        <w:ind w:hanging="720"/>
        <w:jc w:val="both"/>
        <w:rPr>
          <w:rFonts w:ascii="Arial" w:hAnsi="Arial" w:cs="Arial"/>
          <w:b/>
          <w:color w:val="000000" w:themeColor="text1"/>
          <w:sz w:val="24"/>
          <w:szCs w:val="24"/>
        </w:rPr>
      </w:pPr>
      <w:r w:rsidRPr="008C4AF3">
        <w:rPr>
          <w:rFonts w:ascii="Arial" w:hAnsi="Arial" w:cs="Arial"/>
          <w:color w:val="000000" w:themeColor="text1"/>
          <w:sz w:val="24"/>
          <w:szCs w:val="24"/>
        </w:rPr>
        <w:t>8</w:t>
      </w:r>
      <w:r w:rsidR="00CB2E0B" w:rsidRPr="008C4AF3">
        <w:rPr>
          <w:rFonts w:ascii="Arial" w:hAnsi="Arial" w:cs="Arial"/>
          <w:color w:val="000000" w:themeColor="text1"/>
          <w:sz w:val="24"/>
          <w:szCs w:val="24"/>
        </w:rPr>
        <w:t>.1</w:t>
      </w:r>
      <w:r w:rsidR="00CB2E0B" w:rsidRPr="008C4AF3">
        <w:rPr>
          <w:rFonts w:ascii="Arial" w:hAnsi="Arial" w:cs="Arial"/>
          <w:color w:val="000000" w:themeColor="text1"/>
          <w:sz w:val="24"/>
          <w:szCs w:val="24"/>
        </w:rPr>
        <w:tab/>
        <w:t>In applying this policy, the Organisation will have due regard for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62C5CBC0" w14:textId="621559DB" w:rsidR="00CB2E0B" w:rsidRPr="008C4AF3" w:rsidRDefault="00036885" w:rsidP="00036885">
      <w:pPr>
        <w:pStyle w:val="Heading1"/>
        <w:rPr>
          <w:rFonts w:ascii="Arial" w:hAnsi="Arial" w:cs="Arial"/>
          <w:b/>
          <w:color w:val="000000" w:themeColor="text1"/>
          <w:sz w:val="28"/>
          <w:szCs w:val="28"/>
        </w:rPr>
      </w:pPr>
      <w:bookmarkStart w:id="10" w:name="_Toc106795344"/>
      <w:r w:rsidRPr="008C4AF3">
        <w:rPr>
          <w:rFonts w:ascii="Arial" w:hAnsi="Arial" w:cs="Arial"/>
          <w:b/>
          <w:color w:val="000000" w:themeColor="text1"/>
          <w:sz w:val="28"/>
          <w:szCs w:val="28"/>
        </w:rPr>
        <w:t>9</w:t>
      </w:r>
      <w:r w:rsidR="00CB2E0B" w:rsidRPr="008C4AF3">
        <w:rPr>
          <w:rFonts w:ascii="Arial" w:hAnsi="Arial" w:cs="Arial"/>
          <w:b/>
          <w:color w:val="000000" w:themeColor="text1"/>
          <w:sz w:val="28"/>
          <w:szCs w:val="28"/>
        </w:rPr>
        <w:t>.</w:t>
      </w:r>
      <w:r w:rsidR="00CB2E0B" w:rsidRPr="008C4AF3">
        <w:rPr>
          <w:rFonts w:ascii="Arial" w:hAnsi="Arial" w:cs="Arial"/>
          <w:b/>
          <w:color w:val="000000" w:themeColor="text1"/>
          <w:sz w:val="28"/>
          <w:szCs w:val="28"/>
        </w:rPr>
        <w:tab/>
        <w:t>MONITORING &amp; REVIEW</w:t>
      </w:r>
      <w:bookmarkEnd w:id="10"/>
    </w:p>
    <w:p w14:paraId="5926713F" w14:textId="77777777" w:rsidR="00CB2E0B" w:rsidRPr="008C4AF3" w:rsidRDefault="00CB2E0B" w:rsidP="00036885">
      <w:pPr>
        <w:spacing w:after="0" w:line="240" w:lineRule="auto"/>
        <w:ind w:left="720" w:hanging="720"/>
        <w:jc w:val="both"/>
        <w:rPr>
          <w:rFonts w:ascii="Arial" w:hAnsi="Arial" w:cs="Arial"/>
          <w:b/>
          <w:color w:val="000000" w:themeColor="text1"/>
          <w:sz w:val="24"/>
          <w:szCs w:val="24"/>
        </w:rPr>
      </w:pPr>
    </w:p>
    <w:p w14:paraId="32D35854" w14:textId="184A70B9" w:rsidR="00CB2E0B" w:rsidRPr="008C4AF3" w:rsidRDefault="00036885" w:rsidP="00036885">
      <w:pPr>
        <w:spacing w:after="0" w:line="240" w:lineRule="auto"/>
        <w:ind w:left="720" w:right="-180" w:hanging="720"/>
        <w:jc w:val="both"/>
        <w:rPr>
          <w:rFonts w:ascii="Arial" w:hAnsi="Arial" w:cs="Arial"/>
          <w:color w:val="000000" w:themeColor="text1"/>
          <w:sz w:val="24"/>
          <w:szCs w:val="24"/>
          <w:lang w:val="x-none" w:eastAsia="x-none"/>
        </w:rPr>
      </w:pPr>
      <w:r w:rsidRPr="008C4AF3">
        <w:rPr>
          <w:rFonts w:ascii="Arial" w:hAnsi="Arial" w:cs="Arial"/>
          <w:color w:val="000000" w:themeColor="text1"/>
          <w:sz w:val="24"/>
          <w:szCs w:val="24"/>
          <w:lang w:eastAsia="x-none"/>
        </w:rPr>
        <w:t>9</w:t>
      </w:r>
      <w:r w:rsidR="00CB2E0B" w:rsidRPr="008C4AF3">
        <w:rPr>
          <w:rFonts w:ascii="Arial" w:hAnsi="Arial" w:cs="Arial"/>
          <w:color w:val="000000" w:themeColor="text1"/>
          <w:sz w:val="24"/>
          <w:szCs w:val="24"/>
          <w:lang w:val="x-none" w:eastAsia="x-none"/>
        </w:rPr>
        <w:t>.1</w:t>
      </w:r>
      <w:r w:rsidR="00CB2E0B" w:rsidRPr="008C4AF3">
        <w:rPr>
          <w:rFonts w:ascii="Arial" w:hAnsi="Arial" w:cs="Arial"/>
          <w:color w:val="000000" w:themeColor="text1"/>
          <w:sz w:val="24"/>
          <w:szCs w:val="24"/>
          <w:lang w:val="x-none" w:eastAsia="x-none"/>
        </w:rPr>
        <w:tab/>
        <w:t xml:space="preserve">The policy and procedure will be reviewed periodically by Human Resources in conjunction with operational managers and Trade Union representatives. Where review is necessary due to legislative change, this will happen immediately. </w:t>
      </w:r>
    </w:p>
    <w:p w14:paraId="70F04B34" w14:textId="77777777" w:rsidR="00CB2E0B" w:rsidRPr="008C4AF3" w:rsidRDefault="00CB2E0B" w:rsidP="00036885">
      <w:pPr>
        <w:spacing w:after="0" w:line="240" w:lineRule="auto"/>
        <w:jc w:val="both"/>
        <w:rPr>
          <w:rFonts w:ascii="Arial" w:hAnsi="Arial" w:cs="Arial"/>
          <w:color w:val="000000" w:themeColor="text1"/>
          <w:sz w:val="24"/>
          <w:szCs w:val="24"/>
          <w:lang w:eastAsia="en-GB"/>
        </w:rPr>
      </w:pPr>
    </w:p>
    <w:p w14:paraId="4D820F0A" w14:textId="103F7467" w:rsidR="00CB2E0B" w:rsidRPr="008C4AF3" w:rsidRDefault="00CB2E0B" w:rsidP="00036885">
      <w:pPr>
        <w:pStyle w:val="Default"/>
        <w:outlineLvl w:val="0"/>
        <w:rPr>
          <w:b/>
          <w:color w:val="000000" w:themeColor="text1"/>
          <w:sz w:val="28"/>
          <w:szCs w:val="28"/>
        </w:rPr>
      </w:pPr>
      <w:bookmarkStart w:id="11" w:name="_Toc106795345"/>
      <w:r w:rsidRPr="008C4AF3">
        <w:rPr>
          <w:b/>
          <w:color w:val="000000" w:themeColor="text1"/>
          <w:sz w:val="28"/>
          <w:szCs w:val="28"/>
        </w:rPr>
        <w:t>1</w:t>
      </w:r>
      <w:r w:rsidR="00036885" w:rsidRPr="008C4AF3">
        <w:rPr>
          <w:b/>
          <w:color w:val="000000" w:themeColor="text1"/>
          <w:sz w:val="28"/>
          <w:szCs w:val="28"/>
        </w:rPr>
        <w:t>0</w:t>
      </w:r>
      <w:r w:rsidRPr="008C4AF3">
        <w:rPr>
          <w:b/>
          <w:color w:val="000000" w:themeColor="text1"/>
          <w:sz w:val="28"/>
          <w:szCs w:val="28"/>
        </w:rPr>
        <w:t>.</w:t>
      </w:r>
      <w:r w:rsidRPr="008C4AF3">
        <w:rPr>
          <w:b/>
          <w:color w:val="000000" w:themeColor="text1"/>
          <w:sz w:val="28"/>
          <w:szCs w:val="28"/>
        </w:rPr>
        <w:tab/>
        <w:t>ASSOCIATED DOCUMENTATION</w:t>
      </w:r>
      <w:bookmarkEnd w:id="11"/>
    </w:p>
    <w:p w14:paraId="1187C3EF" w14:textId="77777777" w:rsidR="00CB2E0B" w:rsidRPr="008C4AF3" w:rsidRDefault="00CB2E0B" w:rsidP="00036885">
      <w:pPr>
        <w:pStyle w:val="Default"/>
        <w:rPr>
          <w:b/>
          <w:color w:val="000000" w:themeColor="text1"/>
        </w:rPr>
      </w:pPr>
    </w:p>
    <w:p w14:paraId="20745E60" w14:textId="77777777" w:rsidR="00CB2E0B" w:rsidRPr="008C4AF3" w:rsidRDefault="00CB2E0B" w:rsidP="00036885">
      <w:pPr>
        <w:widowControl w:val="0"/>
        <w:numPr>
          <w:ilvl w:val="0"/>
          <w:numId w:val="57"/>
        </w:numPr>
        <w:tabs>
          <w:tab w:val="left" w:pos="1134"/>
        </w:tabs>
        <w:autoSpaceDE w:val="0"/>
        <w:autoSpaceDN w:val="0"/>
        <w:adjustRightInd w:val="0"/>
        <w:spacing w:after="0" w:line="240" w:lineRule="auto"/>
        <w:ind w:hanging="11"/>
        <w:jc w:val="both"/>
        <w:rPr>
          <w:rFonts w:ascii="Arial" w:hAnsi="Arial" w:cs="Arial"/>
          <w:color w:val="000000" w:themeColor="text1"/>
          <w:sz w:val="24"/>
          <w:szCs w:val="24"/>
        </w:rPr>
      </w:pPr>
      <w:r w:rsidRPr="008C4AF3">
        <w:rPr>
          <w:rFonts w:ascii="Arial" w:hAnsi="Arial" w:cs="Arial"/>
          <w:color w:val="000000" w:themeColor="text1"/>
          <w:sz w:val="24"/>
          <w:szCs w:val="24"/>
        </w:rPr>
        <w:t>NHS Terms and Conditions of Service Handbook</w:t>
      </w:r>
    </w:p>
    <w:p w14:paraId="2B554558" w14:textId="77777777" w:rsidR="00CB2E0B" w:rsidRPr="008C4AF3" w:rsidRDefault="00CB2E0B" w:rsidP="00036885">
      <w:pPr>
        <w:pStyle w:val="Default"/>
        <w:rPr>
          <w:color w:val="000000" w:themeColor="text1"/>
        </w:rPr>
      </w:pPr>
    </w:p>
    <w:p w14:paraId="5D29C304" w14:textId="0460ABBC" w:rsidR="00CB2E0B" w:rsidRPr="008C4AF3" w:rsidRDefault="00CB2E0B" w:rsidP="00036885">
      <w:pPr>
        <w:spacing w:after="0" w:line="240" w:lineRule="auto"/>
        <w:rPr>
          <w:rFonts w:ascii="Arial" w:hAnsi="Arial" w:cs="Arial"/>
          <w:color w:val="000000" w:themeColor="text1"/>
          <w:sz w:val="24"/>
          <w:szCs w:val="24"/>
        </w:rPr>
      </w:pPr>
    </w:p>
    <w:p w14:paraId="7E090C8F" w14:textId="77777777" w:rsidR="00431C0B" w:rsidRPr="008C4AF3" w:rsidRDefault="00431C0B" w:rsidP="00036885">
      <w:pPr>
        <w:spacing w:after="0" w:line="240" w:lineRule="auto"/>
        <w:rPr>
          <w:rFonts w:ascii="Arial" w:hAnsi="Arial" w:cs="Arial"/>
          <w:b/>
          <w:bCs/>
          <w:color w:val="000000" w:themeColor="text1"/>
          <w:sz w:val="24"/>
          <w:szCs w:val="24"/>
        </w:rPr>
      </w:pPr>
      <w:r w:rsidRPr="008C4AF3">
        <w:rPr>
          <w:rFonts w:ascii="Arial" w:hAnsi="Arial" w:cs="Arial"/>
          <w:b/>
          <w:bCs/>
          <w:color w:val="000000" w:themeColor="text1"/>
          <w:sz w:val="24"/>
          <w:szCs w:val="24"/>
        </w:rPr>
        <w:br w:type="page"/>
      </w:r>
    </w:p>
    <w:p w14:paraId="2C733909" w14:textId="71798DC0" w:rsidR="00CB2E0B" w:rsidRPr="008C4AF3" w:rsidRDefault="00036885" w:rsidP="00036885">
      <w:pPr>
        <w:pStyle w:val="Heading1"/>
        <w:rPr>
          <w:rFonts w:ascii="Arial" w:eastAsia="Times New Roman" w:hAnsi="Arial" w:cs="Arial"/>
          <w:color w:val="000000" w:themeColor="text1"/>
          <w:sz w:val="28"/>
          <w:szCs w:val="28"/>
          <w:lang w:eastAsia="en-GB"/>
        </w:rPr>
      </w:pPr>
      <w:bookmarkStart w:id="12" w:name="_Toc106795346"/>
      <w:r w:rsidRPr="008C4AF3">
        <w:rPr>
          <w:rFonts w:ascii="Arial" w:hAnsi="Arial" w:cs="Arial"/>
          <w:b/>
          <w:bCs/>
          <w:color w:val="000000" w:themeColor="text1"/>
          <w:sz w:val="28"/>
          <w:szCs w:val="28"/>
        </w:rPr>
        <w:lastRenderedPageBreak/>
        <w:t xml:space="preserve">APPENDIX 1 - </w:t>
      </w:r>
      <w:r w:rsidR="00CB2E0B" w:rsidRPr="008C4AF3">
        <w:rPr>
          <w:rFonts w:ascii="Arial" w:hAnsi="Arial" w:cs="Arial"/>
          <w:b/>
          <w:bCs/>
          <w:color w:val="000000" w:themeColor="text1"/>
          <w:sz w:val="28"/>
          <w:szCs w:val="28"/>
        </w:rPr>
        <w:t>Equality Impact Assessment</w:t>
      </w:r>
      <w:bookmarkEnd w:id="12"/>
    </w:p>
    <w:p w14:paraId="1FB7098A" w14:textId="5F3FF5CF" w:rsidR="00CB2E0B" w:rsidRPr="008C4AF3" w:rsidRDefault="00CB2E0B" w:rsidP="00036885">
      <w:pPr>
        <w:spacing w:after="0" w:line="240" w:lineRule="auto"/>
        <w:rPr>
          <w:rFonts w:ascii="Arial" w:hAnsi="Arial" w:cs="Arial"/>
          <w:color w:val="000000" w:themeColor="text1"/>
          <w:sz w:val="24"/>
          <w:szCs w:val="24"/>
        </w:rPr>
      </w:pPr>
    </w:p>
    <w:p w14:paraId="1A04CF07" w14:textId="67266EB2" w:rsidR="00036885" w:rsidRPr="008C4AF3" w:rsidRDefault="00036885" w:rsidP="00036885">
      <w:pPr>
        <w:pStyle w:val="Default"/>
        <w:rPr>
          <w:color w:val="000000" w:themeColor="text1"/>
          <w:sz w:val="22"/>
          <w:szCs w:val="22"/>
        </w:rPr>
      </w:pPr>
      <w:bookmarkStart w:id="13" w:name="_Hlk106791690"/>
      <w:r w:rsidRPr="008C4AF3">
        <w:rPr>
          <w:color w:val="000000" w:themeColor="text1"/>
        </w:rPr>
        <w:t>Equality Impact Assessments will be updated to include statistical data. Equality Impact Assessments will be updated and included in each Human Resource policy, as per the agreed 2022/23 HR EIA review schedule</w:t>
      </w:r>
      <w:r w:rsidRPr="008C4AF3">
        <w:rPr>
          <w:b/>
          <w:bCs/>
          <w:color w:val="000000" w:themeColor="text1"/>
          <w:sz w:val="23"/>
          <w:szCs w:val="23"/>
        </w:rPr>
        <w:t xml:space="preserve"> </w:t>
      </w:r>
      <w:bookmarkEnd w:id="1"/>
      <w:bookmarkEnd w:id="13"/>
    </w:p>
    <w:sectPr w:rsidR="00036885" w:rsidRPr="008C4AF3" w:rsidSect="00937CF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85B6" w14:textId="77777777" w:rsidR="001E5CFB" w:rsidRDefault="001E5CFB" w:rsidP="00CA598D">
      <w:pPr>
        <w:spacing w:after="0" w:line="240" w:lineRule="auto"/>
      </w:pPr>
      <w:r>
        <w:separator/>
      </w:r>
    </w:p>
  </w:endnote>
  <w:endnote w:type="continuationSeparator" w:id="0">
    <w:p w14:paraId="7DFF99FB" w14:textId="77777777" w:rsidR="001E5CFB" w:rsidRDefault="001E5CFB" w:rsidP="00CA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55EE" w14:textId="77777777" w:rsidR="00036885" w:rsidRDefault="00036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0DD0" w14:textId="40BBDA65" w:rsidR="00036885" w:rsidRPr="00F56C9D" w:rsidRDefault="00036885" w:rsidP="00036885">
    <w:pPr>
      <w:pStyle w:val="Footer"/>
      <w:tabs>
        <w:tab w:val="clear" w:pos="9026"/>
        <w:tab w:val="right" w:pos="9639"/>
      </w:tabs>
      <w:rPr>
        <w:sz w:val="18"/>
        <w:szCs w:val="18"/>
      </w:rPr>
    </w:pPr>
    <w:r w:rsidRPr="00F56C9D">
      <w:rPr>
        <w:sz w:val="18"/>
        <w:szCs w:val="18"/>
      </w:rPr>
      <w:t>HR</w:t>
    </w:r>
    <w:r>
      <w:rPr>
        <w:sz w:val="18"/>
        <w:szCs w:val="18"/>
      </w:rPr>
      <w:t>46 Relocation Expenses</w:t>
    </w:r>
    <w:r w:rsidRPr="00F56C9D">
      <w:rPr>
        <w:sz w:val="18"/>
        <w:szCs w:val="18"/>
      </w:rPr>
      <w:t xml:space="preserve"> Policy (1 April 2022)</w:t>
    </w:r>
    <w:r>
      <w:rPr>
        <w:sz w:val="18"/>
        <w:szCs w:val="18"/>
      </w:rPr>
      <w:tab/>
    </w:r>
    <w:r w:rsidRPr="00F56C9D">
      <w:rPr>
        <w:sz w:val="18"/>
        <w:szCs w:val="18"/>
      </w:rPr>
      <w:tab/>
      <w:t xml:space="preserve">Page </w:t>
    </w:r>
    <w:r w:rsidRPr="00F56C9D">
      <w:rPr>
        <w:b/>
        <w:bCs/>
        <w:sz w:val="18"/>
        <w:szCs w:val="18"/>
      </w:rPr>
      <w:fldChar w:fldCharType="begin"/>
    </w:r>
    <w:r w:rsidRPr="00F56C9D">
      <w:rPr>
        <w:b/>
        <w:bCs/>
        <w:sz w:val="18"/>
        <w:szCs w:val="18"/>
      </w:rPr>
      <w:instrText xml:space="preserve"> PAGE </w:instrText>
    </w:r>
    <w:r w:rsidRPr="00F56C9D">
      <w:rPr>
        <w:b/>
        <w:bCs/>
        <w:sz w:val="18"/>
        <w:szCs w:val="18"/>
      </w:rPr>
      <w:fldChar w:fldCharType="separate"/>
    </w:r>
    <w:r>
      <w:rPr>
        <w:b/>
        <w:bCs/>
        <w:sz w:val="18"/>
        <w:szCs w:val="18"/>
      </w:rPr>
      <w:t>1</w:t>
    </w:r>
    <w:r w:rsidRPr="00F56C9D">
      <w:rPr>
        <w:b/>
        <w:bCs/>
        <w:sz w:val="18"/>
        <w:szCs w:val="18"/>
      </w:rPr>
      <w:fldChar w:fldCharType="end"/>
    </w:r>
    <w:r w:rsidRPr="00F56C9D">
      <w:rPr>
        <w:sz w:val="18"/>
        <w:szCs w:val="18"/>
      </w:rPr>
      <w:t xml:space="preserve"> of </w:t>
    </w:r>
    <w:r w:rsidRPr="00F56C9D">
      <w:rPr>
        <w:b/>
        <w:bCs/>
        <w:sz w:val="18"/>
        <w:szCs w:val="18"/>
      </w:rPr>
      <w:fldChar w:fldCharType="begin"/>
    </w:r>
    <w:r w:rsidRPr="00F56C9D">
      <w:rPr>
        <w:b/>
        <w:bCs/>
        <w:sz w:val="18"/>
        <w:szCs w:val="18"/>
      </w:rPr>
      <w:instrText xml:space="preserve"> NUMPAGES  </w:instrText>
    </w:r>
    <w:r w:rsidRPr="00F56C9D">
      <w:rPr>
        <w:b/>
        <w:bCs/>
        <w:sz w:val="18"/>
        <w:szCs w:val="18"/>
      </w:rPr>
      <w:fldChar w:fldCharType="separate"/>
    </w:r>
    <w:r>
      <w:rPr>
        <w:b/>
        <w:bCs/>
        <w:sz w:val="18"/>
        <w:szCs w:val="18"/>
      </w:rPr>
      <w:t>8</w:t>
    </w:r>
    <w:r w:rsidRPr="00F56C9D">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D47B" w14:textId="77777777" w:rsidR="00036885" w:rsidRDefault="00036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67D5" w14:textId="77777777" w:rsidR="001E5CFB" w:rsidRDefault="001E5CFB" w:rsidP="00CA598D">
      <w:pPr>
        <w:spacing w:after="0" w:line="240" w:lineRule="auto"/>
      </w:pPr>
      <w:r>
        <w:separator/>
      </w:r>
    </w:p>
  </w:footnote>
  <w:footnote w:type="continuationSeparator" w:id="0">
    <w:p w14:paraId="7D117D7E" w14:textId="77777777" w:rsidR="001E5CFB" w:rsidRDefault="001E5CFB" w:rsidP="00CA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E91C" w14:textId="77777777" w:rsidR="00036885" w:rsidRDefault="00036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5F03" w14:textId="7CE6D7B6" w:rsidR="00036885" w:rsidRDefault="00036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3E6A" w14:textId="77777777" w:rsidR="00036885" w:rsidRPr="00E716A7" w:rsidRDefault="00036885" w:rsidP="00E7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816"/>
    <w:multiLevelType w:val="hybridMultilevel"/>
    <w:tmpl w:val="0F5A4D48"/>
    <w:lvl w:ilvl="0" w:tplc="CFCC43BC">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7502EA"/>
    <w:multiLevelType w:val="hybridMultilevel"/>
    <w:tmpl w:val="D29E7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BF7F49"/>
    <w:multiLevelType w:val="hybridMultilevel"/>
    <w:tmpl w:val="D9FA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23B4"/>
    <w:multiLevelType w:val="hybridMultilevel"/>
    <w:tmpl w:val="D084E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A3195"/>
    <w:multiLevelType w:val="hybridMultilevel"/>
    <w:tmpl w:val="CDFE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E5B0D"/>
    <w:multiLevelType w:val="hybridMultilevel"/>
    <w:tmpl w:val="8D48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75BEC"/>
    <w:multiLevelType w:val="hybridMultilevel"/>
    <w:tmpl w:val="5F6A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C6323"/>
    <w:multiLevelType w:val="hybridMultilevel"/>
    <w:tmpl w:val="AC548308"/>
    <w:lvl w:ilvl="0" w:tplc="D1C2828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46451"/>
    <w:multiLevelType w:val="hybridMultilevel"/>
    <w:tmpl w:val="5FD4E074"/>
    <w:lvl w:ilvl="0" w:tplc="0809000F">
      <w:start w:val="1"/>
      <w:numFmt w:val="decimal"/>
      <w:lvlText w:val="%1."/>
      <w:lvlJc w:val="left"/>
      <w:pPr>
        <w:ind w:left="26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A29C1"/>
    <w:multiLevelType w:val="hybridMultilevel"/>
    <w:tmpl w:val="03F6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E6C69"/>
    <w:multiLevelType w:val="hybridMultilevel"/>
    <w:tmpl w:val="9D52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A6368"/>
    <w:multiLevelType w:val="hybridMultilevel"/>
    <w:tmpl w:val="7E504752"/>
    <w:lvl w:ilvl="0" w:tplc="4118B68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B7C6E"/>
    <w:multiLevelType w:val="hybridMultilevel"/>
    <w:tmpl w:val="5AC83B42"/>
    <w:lvl w:ilvl="0" w:tplc="93023368">
      <w:start w:val="1"/>
      <w:numFmt w:val="decimal"/>
      <w:lvlText w:val="%1."/>
      <w:lvlJc w:val="left"/>
      <w:pPr>
        <w:tabs>
          <w:tab w:val="num" w:pos="1080"/>
        </w:tabs>
        <w:ind w:left="1080" w:hanging="720"/>
      </w:pPr>
      <w:rPr>
        <w:rFonts w:ascii="Calibri" w:hAnsi="Calibri" w:hint="default"/>
        <w:b/>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A838BF"/>
    <w:multiLevelType w:val="hybridMultilevel"/>
    <w:tmpl w:val="4DBA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A7DC4"/>
    <w:multiLevelType w:val="multilevel"/>
    <w:tmpl w:val="54CA4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AF0C7B"/>
    <w:multiLevelType w:val="hybridMultilevel"/>
    <w:tmpl w:val="E3CE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E10F42"/>
    <w:multiLevelType w:val="multilevel"/>
    <w:tmpl w:val="3E76B582"/>
    <w:lvl w:ilvl="0">
      <w:start w:val="2"/>
      <w:numFmt w:val="decimal"/>
      <w:lvlText w:val="%1."/>
      <w:lvlJc w:val="left"/>
      <w:pPr>
        <w:ind w:left="360" w:hanging="360"/>
      </w:pPr>
      <w:rPr>
        <w:rFonts w:hint="default"/>
        <w:b/>
        <w:color w:val="0070C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591690C"/>
    <w:multiLevelType w:val="hybridMultilevel"/>
    <w:tmpl w:val="95161410"/>
    <w:lvl w:ilvl="0" w:tplc="84984F52">
      <w:start w:val="1"/>
      <w:numFmt w:val="low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AF604AC">
      <w:numFmt w:val="bullet"/>
      <w:lvlText w:val="-"/>
      <w:lvlJc w:val="left"/>
      <w:pPr>
        <w:ind w:left="2160" w:hanging="180"/>
      </w:pPr>
      <w:rPr>
        <w:rFonts w:ascii="Arial" w:eastAsiaTheme="majorEastAsia" w:hAnsi="Arial" w:cs="Arial" w:hint="default"/>
        <w:color w:val="auto"/>
      </w:rPr>
    </w:lvl>
    <w:lvl w:ilvl="3" w:tplc="0AF604AC">
      <w:numFmt w:val="bullet"/>
      <w:lvlText w:val="-"/>
      <w:lvlJc w:val="left"/>
      <w:pPr>
        <w:ind w:left="2880" w:hanging="360"/>
      </w:pPr>
      <w:rPr>
        <w:rFonts w:ascii="Arial" w:eastAsiaTheme="majorEastAsia" w:hAnsi="Arial" w:cs="Arial"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633B8E"/>
    <w:multiLevelType w:val="hybridMultilevel"/>
    <w:tmpl w:val="EEE2085E"/>
    <w:lvl w:ilvl="0" w:tplc="5B16D574">
      <w:start w:val="1"/>
      <w:numFmt w:val="decimal"/>
      <w:lvlText w:val="%1."/>
      <w:lvlJc w:val="left"/>
      <w:pPr>
        <w:ind w:left="360" w:hanging="360"/>
      </w:pPr>
      <w:rPr>
        <w:rFonts w:cs="Times New Roman" w:hint="default"/>
        <w:b/>
        <w:i w:val="0"/>
        <w:color w:val="0070C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2D5A62"/>
    <w:multiLevelType w:val="hybridMultilevel"/>
    <w:tmpl w:val="4B36C4E4"/>
    <w:lvl w:ilvl="0" w:tplc="0AF604AC">
      <w:numFmt w:val="bullet"/>
      <w:lvlText w:val="-"/>
      <w:lvlJc w:val="left"/>
      <w:pPr>
        <w:ind w:left="720" w:hanging="360"/>
      </w:pPr>
      <w:rPr>
        <w:rFonts w:ascii="Arial" w:eastAsiaTheme="majorEastAsia" w:hAnsi="Arial" w:cs="Arial" w:hint="default"/>
        <w:b/>
        <w:color w:val="auto"/>
      </w:rPr>
    </w:lvl>
    <w:lvl w:ilvl="1" w:tplc="08090001">
      <w:start w:val="1"/>
      <w:numFmt w:val="bullet"/>
      <w:lvlText w:val=""/>
      <w:lvlJc w:val="left"/>
      <w:pPr>
        <w:ind w:left="1440" w:hanging="360"/>
      </w:pPr>
      <w:rPr>
        <w:rFonts w:ascii="Symbol" w:hAnsi="Symbol" w:hint="default"/>
      </w:rPr>
    </w:lvl>
    <w:lvl w:ilvl="2" w:tplc="0AF604AC">
      <w:numFmt w:val="bullet"/>
      <w:lvlText w:val="-"/>
      <w:lvlJc w:val="left"/>
      <w:pPr>
        <w:ind w:left="2160" w:hanging="180"/>
      </w:pPr>
      <w:rPr>
        <w:rFonts w:ascii="Arial" w:eastAsiaTheme="majorEastAsia" w:hAnsi="Arial" w:cs="Arial" w:hint="default"/>
        <w:color w:val="auto"/>
      </w:rPr>
    </w:lvl>
    <w:lvl w:ilvl="3" w:tplc="0AF604AC">
      <w:numFmt w:val="bullet"/>
      <w:lvlText w:val="-"/>
      <w:lvlJc w:val="left"/>
      <w:pPr>
        <w:ind w:left="2880" w:hanging="360"/>
      </w:pPr>
      <w:rPr>
        <w:rFonts w:ascii="Arial" w:eastAsiaTheme="majorEastAsia" w:hAnsi="Arial" w:cs="Arial"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56217F"/>
    <w:multiLevelType w:val="hybridMultilevel"/>
    <w:tmpl w:val="7856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10B7F"/>
    <w:multiLevelType w:val="hybridMultilevel"/>
    <w:tmpl w:val="838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47A4C"/>
    <w:multiLevelType w:val="hybridMultilevel"/>
    <w:tmpl w:val="F85A2F14"/>
    <w:lvl w:ilvl="0" w:tplc="8D00CAA4">
      <w:start w:val="1"/>
      <w:numFmt w:val="bullet"/>
      <w:lvlText w:val="•"/>
      <w:lvlJc w:val="left"/>
      <w:pPr>
        <w:tabs>
          <w:tab w:val="num" w:pos="360"/>
        </w:tabs>
        <w:ind w:left="360" w:hanging="360"/>
      </w:pPr>
      <w:rPr>
        <w:rFonts w:ascii="Arial" w:hAnsi="Arial" w:hint="default"/>
      </w:rPr>
    </w:lvl>
    <w:lvl w:ilvl="1" w:tplc="8690D4F2" w:tentative="1">
      <w:start w:val="1"/>
      <w:numFmt w:val="bullet"/>
      <w:lvlText w:val="•"/>
      <w:lvlJc w:val="left"/>
      <w:pPr>
        <w:tabs>
          <w:tab w:val="num" w:pos="1080"/>
        </w:tabs>
        <w:ind w:left="1080" w:hanging="360"/>
      </w:pPr>
      <w:rPr>
        <w:rFonts w:ascii="Arial" w:hAnsi="Arial" w:hint="default"/>
      </w:rPr>
    </w:lvl>
    <w:lvl w:ilvl="2" w:tplc="E0084352" w:tentative="1">
      <w:start w:val="1"/>
      <w:numFmt w:val="bullet"/>
      <w:lvlText w:val="•"/>
      <w:lvlJc w:val="left"/>
      <w:pPr>
        <w:tabs>
          <w:tab w:val="num" w:pos="1800"/>
        </w:tabs>
        <w:ind w:left="1800" w:hanging="360"/>
      </w:pPr>
      <w:rPr>
        <w:rFonts w:ascii="Arial" w:hAnsi="Arial" w:hint="default"/>
      </w:rPr>
    </w:lvl>
    <w:lvl w:ilvl="3" w:tplc="FF18CA24" w:tentative="1">
      <w:start w:val="1"/>
      <w:numFmt w:val="bullet"/>
      <w:lvlText w:val="•"/>
      <w:lvlJc w:val="left"/>
      <w:pPr>
        <w:tabs>
          <w:tab w:val="num" w:pos="2520"/>
        </w:tabs>
        <w:ind w:left="2520" w:hanging="360"/>
      </w:pPr>
      <w:rPr>
        <w:rFonts w:ascii="Arial" w:hAnsi="Arial" w:hint="default"/>
      </w:rPr>
    </w:lvl>
    <w:lvl w:ilvl="4" w:tplc="55B8C64C" w:tentative="1">
      <w:start w:val="1"/>
      <w:numFmt w:val="bullet"/>
      <w:lvlText w:val="•"/>
      <w:lvlJc w:val="left"/>
      <w:pPr>
        <w:tabs>
          <w:tab w:val="num" w:pos="3240"/>
        </w:tabs>
        <w:ind w:left="3240" w:hanging="360"/>
      </w:pPr>
      <w:rPr>
        <w:rFonts w:ascii="Arial" w:hAnsi="Arial" w:hint="default"/>
      </w:rPr>
    </w:lvl>
    <w:lvl w:ilvl="5" w:tplc="E924AC46" w:tentative="1">
      <w:start w:val="1"/>
      <w:numFmt w:val="bullet"/>
      <w:lvlText w:val="•"/>
      <w:lvlJc w:val="left"/>
      <w:pPr>
        <w:tabs>
          <w:tab w:val="num" w:pos="3960"/>
        </w:tabs>
        <w:ind w:left="3960" w:hanging="360"/>
      </w:pPr>
      <w:rPr>
        <w:rFonts w:ascii="Arial" w:hAnsi="Arial" w:hint="default"/>
      </w:rPr>
    </w:lvl>
    <w:lvl w:ilvl="6" w:tplc="7F963888" w:tentative="1">
      <w:start w:val="1"/>
      <w:numFmt w:val="bullet"/>
      <w:lvlText w:val="•"/>
      <w:lvlJc w:val="left"/>
      <w:pPr>
        <w:tabs>
          <w:tab w:val="num" w:pos="4680"/>
        </w:tabs>
        <w:ind w:left="4680" w:hanging="360"/>
      </w:pPr>
      <w:rPr>
        <w:rFonts w:ascii="Arial" w:hAnsi="Arial" w:hint="default"/>
      </w:rPr>
    </w:lvl>
    <w:lvl w:ilvl="7" w:tplc="1B18E2B2" w:tentative="1">
      <w:start w:val="1"/>
      <w:numFmt w:val="bullet"/>
      <w:lvlText w:val="•"/>
      <w:lvlJc w:val="left"/>
      <w:pPr>
        <w:tabs>
          <w:tab w:val="num" w:pos="5400"/>
        </w:tabs>
        <w:ind w:left="5400" w:hanging="360"/>
      </w:pPr>
      <w:rPr>
        <w:rFonts w:ascii="Arial" w:hAnsi="Arial" w:hint="default"/>
      </w:rPr>
    </w:lvl>
    <w:lvl w:ilvl="8" w:tplc="4860E098"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0827A82"/>
    <w:multiLevelType w:val="hybridMultilevel"/>
    <w:tmpl w:val="4A0C4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AC53E0"/>
    <w:multiLevelType w:val="hybridMultilevel"/>
    <w:tmpl w:val="1B3E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21109"/>
    <w:multiLevelType w:val="multilevel"/>
    <w:tmpl w:val="6F94235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439B4D5D"/>
    <w:multiLevelType w:val="hybridMultilevel"/>
    <w:tmpl w:val="744CFFAA"/>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27" w15:restartNumberingAfterBreak="0">
    <w:nsid w:val="448908EB"/>
    <w:multiLevelType w:val="hybridMultilevel"/>
    <w:tmpl w:val="C2A2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4A69AF"/>
    <w:multiLevelType w:val="hybridMultilevel"/>
    <w:tmpl w:val="360A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ED61AB"/>
    <w:multiLevelType w:val="hybridMultilevel"/>
    <w:tmpl w:val="319A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E6718"/>
    <w:multiLevelType w:val="hybridMultilevel"/>
    <w:tmpl w:val="7CF8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C34B64"/>
    <w:multiLevelType w:val="hybridMultilevel"/>
    <w:tmpl w:val="322C105A"/>
    <w:lvl w:ilvl="0" w:tplc="E490F1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2F2410"/>
    <w:multiLevelType w:val="hybridMultilevel"/>
    <w:tmpl w:val="BA6C5F70"/>
    <w:lvl w:ilvl="0" w:tplc="DC30DEE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7D1C29"/>
    <w:multiLevelType w:val="hybridMultilevel"/>
    <w:tmpl w:val="2058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51ED9"/>
    <w:multiLevelType w:val="hybridMultilevel"/>
    <w:tmpl w:val="5BFA02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72E462A"/>
    <w:multiLevelType w:val="hybridMultilevel"/>
    <w:tmpl w:val="E69209A6"/>
    <w:lvl w:ilvl="0" w:tplc="A4F85FD8">
      <w:start w:val="1"/>
      <w:numFmt w:val="bullet"/>
      <w:lvlText w:val="•"/>
      <w:lvlJc w:val="left"/>
      <w:pPr>
        <w:tabs>
          <w:tab w:val="num" w:pos="360"/>
        </w:tabs>
        <w:ind w:left="360" w:hanging="360"/>
      </w:pPr>
      <w:rPr>
        <w:rFonts w:ascii="Arial" w:hAnsi="Arial" w:hint="default"/>
      </w:rPr>
    </w:lvl>
    <w:lvl w:ilvl="1" w:tplc="4EC09F1A">
      <w:numFmt w:val="bullet"/>
      <w:lvlText w:val="-"/>
      <w:lvlJc w:val="left"/>
      <w:pPr>
        <w:tabs>
          <w:tab w:val="num" w:pos="1080"/>
        </w:tabs>
        <w:ind w:left="1080" w:hanging="360"/>
      </w:pPr>
      <w:rPr>
        <w:rFonts w:ascii="Times New Roman" w:hAnsi="Times New Roman" w:hint="default"/>
      </w:rPr>
    </w:lvl>
    <w:lvl w:ilvl="2" w:tplc="4B7E7534" w:tentative="1">
      <w:start w:val="1"/>
      <w:numFmt w:val="bullet"/>
      <w:lvlText w:val="•"/>
      <w:lvlJc w:val="left"/>
      <w:pPr>
        <w:tabs>
          <w:tab w:val="num" w:pos="1800"/>
        </w:tabs>
        <w:ind w:left="1800" w:hanging="360"/>
      </w:pPr>
      <w:rPr>
        <w:rFonts w:ascii="Arial" w:hAnsi="Arial" w:hint="default"/>
      </w:rPr>
    </w:lvl>
    <w:lvl w:ilvl="3" w:tplc="C9043A4C" w:tentative="1">
      <w:start w:val="1"/>
      <w:numFmt w:val="bullet"/>
      <w:lvlText w:val="•"/>
      <w:lvlJc w:val="left"/>
      <w:pPr>
        <w:tabs>
          <w:tab w:val="num" w:pos="2520"/>
        </w:tabs>
        <w:ind w:left="2520" w:hanging="360"/>
      </w:pPr>
      <w:rPr>
        <w:rFonts w:ascii="Arial" w:hAnsi="Arial" w:hint="default"/>
      </w:rPr>
    </w:lvl>
    <w:lvl w:ilvl="4" w:tplc="FC4EE868" w:tentative="1">
      <w:start w:val="1"/>
      <w:numFmt w:val="bullet"/>
      <w:lvlText w:val="•"/>
      <w:lvlJc w:val="left"/>
      <w:pPr>
        <w:tabs>
          <w:tab w:val="num" w:pos="3240"/>
        </w:tabs>
        <w:ind w:left="3240" w:hanging="360"/>
      </w:pPr>
      <w:rPr>
        <w:rFonts w:ascii="Arial" w:hAnsi="Arial" w:hint="default"/>
      </w:rPr>
    </w:lvl>
    <w:lvl w:ilvl="5" w:tplc="679A1AC2" w:tentative="1">
      <w:start w:val="1"/>
      <w:numFmt w:val="bullet"/>
      <w:lvlText w:val="•"/>
      <w:lvlJc w:val="left"/>
      <w:pPr>
        <w:tabs>
          <w:tab w:val="num" w:pos="3960"/>
        </w:tabs>
        <w:ind w:left="3960" w:hanging="360"/>
      </w:pPr>
      <w:rPr>
        <w:rFonts w:ascii="Arial" w:hAnsi="Arial" w:hint="default"/>
      </w:rPr>
    </w:lvl>
    <w:lvl w:ilvl="6" w:tplc="E57A1BF4" w:tentative="1">
      <w:start w:val="1"/>
      <w:numFmt w:val="bullet"/>
      <w:lvlText w:val="•"/>
      <w:lvlJc w:val="left"/>
      <w:pPr>
        <w:tabs>
          <w:tab w:val="num" w:pos="4680"/>
        </w:tabs>
        <w:ind w:left="4680" w:hanging="360"/>
      </w:pPr>
      <w:rPr>
        <w:rFonts w:ascii="Arial" w:hAnsi="Arial" w:hint="default"/>
      </w:rPr>
    </w:lvl>
    <w:lvl w:ilvl="7" w:tplc="D76A757E" w:tentative="1">
      <w:start w:val="1"/>
      <w:numFmt w:val="bullet"/>
      <w:lvlText w:val="•"/>
      <w:lvlJc w:val="left"/>
      <w:pPr>
        <w:tabs>
          <w:tab w:val="num" w:pos="5400"/>
        </w:tabs>
        <w:ind w:left="5400" w:hanging="360"/>
      </w:pPr>
      <w:rPr>
        <w:rFonts w:ascii="Arial" w:hAnsi="Arial" w:hint="default"/>
      </w:rPr>
    </w:lvl>
    <w:lvl w:ilvl="8" w:tplc="F22C3778"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88F1CCE"/>
    <w:multiLevelType w:val="hybridMultilevel"/>
    <w:tmpl w:val="7B840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EB74B0"/>
    <w:multiLevelType w:val="hybridMultilevel"/>
    <w:tmpl w:val="BA22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F53F70"/>
    <w:multiLevelType w:val="hybridMultilevel"/>
    <w:tmpl w:val="9E628A26"/>
    <w:lvl w:ilvl="0" w:tplc="38E87F2E">
      <w:start w:val="1"/>
      <w:numFmt w:val="decimal"/>
      <w:lvlText w:val="%1."/>
      <w:lvlJc w:val="left"/>
      <w:pPr>
        <w:ind w:left="720" w:hanging="360"/>
      </w:pPr>
      <w:rPr>
        <w:rFonts w:ascii="Arial" w:hAnsi="Arial" w:cs="Arial" w:hint="default"/>
        <w:b/>
        <w:bCs/>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8A61FC"/>
    <w:multiLevelType w:val="hybridMultilevel"/>
    <w:tmpl w:val="79B6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4154AD"/>
    <w:multiLevelType w:val="hybridMultilevel"/>
    <w:tmpl w:val="8068BD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5FAC1A67"/>
    <w:multiLevelType w:val="hybridMultilevel"/>
    <w:tmpl w:val="39B8A8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1D26E13"/>
    <w:multiLevelType w:val="hybridMultilevel"/>
    <w:tmpl w:val="2672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2F7337"/>
    <w:multiLevelType w:val="hybridMultilevel"/>
    <w:tmpl w:val="73E0D6EA"/>
    <w:lvl w:ilvl="0" w:tplc="45646104">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9B0390"/>
    <w:multiLevelType w:val="multilevel"/>
    <w:tmpl w:val="72CECCE6"/>
    <w:lvl w:ilvl="0">
      <w:start w:val="1"/>
      <w:numFmt w:val="decimal"/>
      <w:lvlText w:val="%1."/>
      <w:lvlJc w:val="left"/>
      <w:pPr>
        <w:tabs>
          <w:tab w:val="num" w:pos="1080"/>
        </w:tabs>
        <w:ind w:left="1080" w:hanging="720"/>
      </w:pPr>
      <w:rPr>
        <w:rFonts w:hint="default"/>
        <w:b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642D599F"/>
    <w:multiLevelType w:val="hybridMultilevel"/>
    <w:tmpl w:val="D894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9C32A3"/>
    <w:multiLevelType w:val="hybridMultilevel"/>
    <w:tmpl w:val="AEAA5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6A103BE9"/>
    <w:multiLevelType w:val="hybridMultilevel"/>
    <w:tmpl w:val="210AD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D8A125D"/>
    <w:multiLevelType w:val="hybridMultilevel"/>
    <w:tmpl w:val="6EE0142C"/>
    <w:lvl w:ilvl="0" w:tplc="4F280D88">
      <w:start w:val="1"/>
      <w:numFmt w:val="bullet"/>
      <w:lvlText w:val="•"/>
      <w:lvlJc w:val="left"/>
      <w:pPr>
        <w:tabs>
          <w:tab w:val="num" w:pos="360"/>
        </w:tabs>
        <w:ind w:left="360" w:hanging="360"/>
      </w:pPr>
      <w:rPr>
        <w:rFonts w:ascii="Arial" w:hAnsi="Arial" w:hint="default"/>
      </w:rPr>
    </w:lvl>
    <w:lvl w:ilvl="1" w:tplc="6F928F68" w:tentative="1">
      <w:start w:val="1"/>
      <w:numFmt w:val="bullet"/>
      <w:lvlText w:val="•"/>
      <w:lvlJc w:val="left"/>
      <w:pPr>
        <w:tabs>
          <w:tab w:val="num" w:pos="1080"/>
        </w:tabs>
        <w:ind w:left="1080" w:hanging="360"/>
      </w:pPr>
      <w:rPr>
        <w:rFonts w:ascii="Arial" w:hAnsi="Arial" w:hint="default"/>
      </w:rPr>
    </w:lvl>
    <w:lvl w:ilvl="2" w:tplc="F5E4D534" w:tentative="1">
      <w:start w:val="1"/>
      <w:numFmt w:val="bullet"/>
      <w:lvlText w:val="•"/>
      <w:lvlJc w:val="left"/>
      <w:pPr>
        <w:tabs>
          <w:tab w:val="num" w:pos="1800"/>
        </w:tabs>
        <w:ind w:left="1800" w:hanging="360"/>
      </w:pPr>
      <w:rPr>
        <w:rFonts w:ascii="Arial" w:hAnsi="Arial" w:hint="default"/>
      </w:rPr>
    </w:lvl>
    <w:lvl w:ilvl="3" w:tplc="D7DE1DF0" w:tentative="1">
      <w:start w:val="1"/>
      <w:numFmt w:val="bullet"/>
      <w:lvlText w:val="•"/>
      <w:lvlJc w:val="left"/>
      <w:pPr>
        <w:tabs>
          <w:tab w:val="num" w:pos="2520"/>
        </w:tabs>
        <w:ind w:left="2520" w:hanging="360"/>
      </w:pPr>
      <w:rPr>
        <w:rFonts w:ascii="Arial" w:hAnsi="Arial" w:hint="default"/>
      </w:rPr>
    </w:lvl>
    <w:lvl w:ilvl="4" w:tplc="EE6E9564" w:tentative="1">
      <w:start w:val="1"/>
      <w:numFmt w:val="bullet"/>
      <w:lvlText w:val="•"/>
      <w:lvlJc w:val="left"/>
      <w:pPr>
        <w:tabs>
          <w:tab w:val="num" w:pos="3240"/>
        </w:tabs>
        <w:ind w:left="3240" w:hanging="360"/>
      </w:pPr>
      <w:rPr>
        <w:rFonts w:ascii="Arial" w:hAnsi="Arial" w:hint="default"/>
      </w:rPr>
    </w:lvl>
    <w:lvl w:ilvl="5" w:tplc="8560397C" w:tentative="1">
      <w:start w:val="1"/>
      <w:numFmt w:val="bullet"/>
      <w:lvlText w:val="•"/>
      <w:lvlJc w:val="left"/>
      <w:pPr>
        <w:tabs>
          <w:tab w:val="num" w:pos="3960"/>
        </w:tabs>
        <w:ind w:left="3960" w:hanging="360"/>
      </w:pPr>
      <w:rPr>
        <w:rFonts w:ascii="Arial" w:hAnsi="Arial" w:hint="default"/>
      </w:rPr>
    </w:lvl>
    <w:lvl w:ilvl="6" w:tplc="A948A716" w:tentative="1">
      <w:start w:val="1"/>
      <w:numFmt w:val="bullet"/>
      <w:lvlText w:val="•"/>
      <w:lvlJc w:val="left"/>
      <w:pPr>
        <w:tabs>
          <w:tab w:val="num" w:pos="4680"/>
        </w:tabs>
        <w:ind w:left="4680" w:hanging="360"/>
      </w:pPr>
      <w:rPr>
        <w:rFonts w:ascii="Arial" w:hAnsi="Arial" w:hint="default"/>
      </w:rPr>
    </w:lvl>
    <w:lvl w:ilvl="7" w:tplc="A170D2C8" w:tentative="1">
      <w:start w:val="1"/>
      <w:numFmt w:val="bullet"/>
      <w:lvlText w:val="•"/>
      <w:lvlJc w:val="left"/>
      <w:pPr>
        <w:tabs>
          <w:tab w:val="num" w:pos="5400"/>
        </w:tabs>
        <w:ind w:left="5400" w:hanging="360"/>
      </w:pPr>
      <w:rPr>
        <w:rFonts w:ascii="Arial" w:hAnsi="Arial" w:hint="default"/>
      </w:rPr>
    </w:lvl>
    <w:lvl w:ilvl="8" w:tplc="F612DD12"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6ED95481"/>
    <w:multiLevelType w:val="hybridMultilevel"/>
    <w:tmpl w:val="58BA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61015F"/>
    <w:multiLevelType w:val="hybridMultilevel"/>
    <w:tmpl w:val="90DE18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71C562B8"/>
    <w:multiLevelType w:val="hybridMultilevel"/>
    <w:tmpl w:val="FB720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1C600FA"/>
    <w:multiLevelType w:val="hybridMultilevel"/>
    <w:tmpl w:val="F6D2722E"/>
    <w:lvl w:ilvl="0" w:tplc="70B4080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BE0841"/>
    <w:multiLevelType w:val="hybridMultilevel"/>
    <w:tmpl w:val="CD70C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CBC1C98"/>
    <w:multiLevelType w:val="hybridMultilevel"/>
    <w:tmpl w:val="7248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056129"/>
    <w:multiLevelType w:val="hybridMultilevel"/>
    <w:tmpl w:val="7E504752"/>
    <w:lvl w:ilvl="0" w:tplc="4118B68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30"/>
  </w:num>
  <w:num w:numId="3">
    <w:abstractNumId w:val="39"/>
  </w:num>
  <w:num w:numId="4">
    <w:abstractNumId w:val="54"/>
  </w:num>
  <w:num w:numId="5">
    <w:abstractNumId w:val="21"/>
  </w:num>
  <w:num w:numId="6">
    <w:abstractNumId w:val="27"/>
  </w:num>
  <w:num w:numId="7">
    <w:abstractNumId w:val="23"/>
  </w:num>
  <w:num w:numId="8">
    <w:abstractNumId w:val="3"/>
  </w:num>
  <w:num w:numId="9">
    <w:abstractNumId w:val="53"/>
  </w:num>
  <w:num w:numId="10">
    <w:abstractNumId w:val="22"/>
  </w:num>
  <w:num w:numId="11">
    <w:abstractNumId w:val="35"/>
  </w:num>
  <w:num w:numId="12">
    <w:abstractNumId w:val="48"/>
  </w:num>
  <w:num w:numId="13">
    <w:abstractNumId w:val="17"/>
  </w:num>
  <w:num w:numId="14">
    <w:abstractNumId w:val="16"/>
  </w:num>
  <w:num w:numId="15">
    <w:abstractNumId w:val="2"/>
  </w:num>
  <w:num w:numId="16">
    <w:abstractNumId w:val="28"/>
  </w:num>
  <w:num w:numId="17">
    <w:abstractNumId w:val="36"/>
  </w:num>
  <w:num w:numId="18">
    <w:abstractNumId w:val="42"/>
  </w:num>
  <w:num w:numId="19">
    <w:abstractNumId w:val="26"/>
  </w:num>
  <w:num w:numId="20">
    <w:abstractNumId w:val="14"/>
  </w:num>
  <w:num w:numId="21">
    <w:abstractNumId w:val="8"/>
  </w:num>
  <w:num w:numId="22">
    <w:abstractNumId w:val="55"/>
  </w:num>
  <w:num w:numId="23">
    <w:abstractNumId w:val="11"/>
  </w:num>
  <w:num w:numId="24">
    <w:abstractNumId w:val="44"/>
  </w:num>
  <w:num w:numId="25">
    <w:abstractNumId w:val="12"/>
  </w:num>
  <w:num w:numId="26">
    <w:abstractNumId w:val="26"/>
  </w:num>
  <w:num w:numId="27">
    <w:abstractNumId w:val="14"/>
  </w:num>
  <w:num w:numId="28">
    <w:abstractNumId w:val="33"/>
  </w:num>
  <w:num w:numId="29">
    <w:abstractNumId w:val="24"/>
  </w:num>
  <w:num w:numId="30">
    <w:abstractNumId w:val="5"/>
  </w:num>
  <w:num w:numId="31">
    <w:abstractNumId w:val="10"/>
  </w:num>
  <w:num w:numId="32">
    <w:abstractNumId w:val="45"/>
  </w:num>
  <w:num w:numId="33">
    <w:abstractNumId w:val="20"/>
  </w:num>
  <w:num w:numId="34">
    <w:abstractNumId w:val="6"/>
  </w:num>
  <w:num w:numId="35">
    <w:abstractNumId w:val="18"/>
  </w:num>
  <w:num w:numId="36">
    <w:abstractNumId w:val="19"/>
  </w:num>
  <w:num w:numId="37">
    <w:abstractNumId w:val="41"/>
  </w:num>
  <w:num w:numId="38">
    <w:abstractNumId w:val="38"/>
  </w:num>
  <w:num w:numId="39">
    <w:abstractNumId w:val="43"/>
  </w:num>
  <w:num w:numId="40">
    <w:abstractNumId w:val="1"/>
  </w:num>
  <w:num w:numId="41">
    <w:abstractNumId w:val="9"/>
  </w:num>
  <w:num w:numId="42">
    <w:abstractNumId w:val="37"/>
  </w:num>
  <w:num w:numId="43">
    <w:abstractNumId w:val="15"/>
  </w:num>
  <w:num w:numId="44">
    <w:abstractNumId w:val="29"/>
  </w:num>
  <w:num w:numId="45">
    <w:abstractNumId w:val="47"/>
  </w:num>
  <w:num w:numId="46">
    <w:abstractNumId w:val="4"/>
  </w:num>
  <w:num w:numId="47">
    <w:abstractNumId w:val="49"/>
  </w:num>
  <w:num w:numId="48">
    <w:abstractNumId w:val="52"/>
  </w:num>
  <w:num w:numId="49">
    <w:abstractNumId w:val="7"/>
  </w:num>
  <w:num w:numId="50">
    <w:abstractNumId w:val="13"/>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36885"/>
    <w:rsid w:val="000716DE"/>
    <w:rsid w:val="00072700"/>
    <w:rsid w:val="00075203"/>
    <w:rsid w:val="00091A6D"/>
    <w:rsid w:val="00091E72"/>
    <w:rsid w:val="00092651"/>
    <w:rsid w:val="00096376"/>
    <w:rsid w:val="000A43F2"/>
    <w:rsid w:val="000A6077"/>
    <w:rsid w:val="000D337F"/>
    <w:rsid w:val="000D6728"/>
    <w:rsid w:val="000F529A"/>
    <w:rsid w:val="000F66DF"/>
    <w:rsid w:val="001027C8"/>
    <w:rsid w:val="00110AD7"/>
    <w:rsid w:val="00117813"/>
    <w:rsid w:val="00120848"/>
    <w:rsid w:val="001331F6"/>
    <w:rsid w:val="001414AD"/>
    <w:rsid w:val="00150168"/>
    <w:rsid w:val="00172658"/>
    <w:rsid w:val="001731C9"/>
    <w:rsid w:val="001873E5"/>
    <w:rsid w:val="00192D9B"/>
    <w:rsid w:val="00194784"/>
    <w:rsid w:val="001B5EF2"/>
    <w:rsid w:val="001C0FC1"/>
    <w:rsid w:val="001E5CFB"/>
    <w:rsid w:val="001E6E04"/>
    <w:rsid w:val="001F2A8F"/>
    <w:rsid w:val="00203491"/>
    <w:rsid w:val="00203EF4"/>
    <w:rsid w:val="00205E10"/>
    <w:rsid w:val="00211A8D"/>
    <w:rsid w:val="00222C98"/>
    <w:rsid w:val="00234C4A"/>
    <w:rsid w:val="0023523B"/>
    <w:rsid w:val="00246D3F"/>
    <w:rsid w:val="002478C4"/>
    <w:rsid w:val="002517CB"/>
    <w:rsid w:val="00252602"/>
    <w:rsid w:val="00256190"/>
    <w:rsid w:val="00260C80"/>
    <w:rsid w:val="00277CC5"/>
    <w:rsid w:val="002803A5"/>
    <w:rsid w:val="00280980"/>
    <w:rsid w:val="00281AD7"/>
    <w:rsid w:val="00291E6F"/>
    <w:rsid w:val="00293152"/>
    <w:rsid w:val="0029472E"/>
    <w:rsid w:val="002A5790"/>
    <w:rsid w:val="002A7ACE"/>
    <w:rsid w:val="002C407D"/>
    <w:rsid w:val="002F1B08"/>
    <w:rsid w:val="002F7810"/>
    <w:rsid w:val="003075DB"/>
    <w:rsid w:val="00325AA1"/>
    <w:rsid w:val="00340615"/>
    <w:rsid w:val="00341DEA"/>
    <w:rsid w:val="003457ED"/>
    <w:rsid w:val="0035108F"/>
    <w:rsid w:val="00371949"/>
    <w:rsid w:val="00375A63"/>
    <w:rsid w:val="00375AAE"/>
    <w:rsid w:val="00380988"/>
    <w:rsid w:val="003825F3"/>
    <w:rsid w:val="003E6177"/>
    <w:rsid w:val="003F09E8"/>
    <w:rsid w:val="003F2386"/>
    <w:rsid w:val="003F756A"/>
    <w:rsid w:val="00401EC3"/>
    <w:rsid w:val="00410FD7"/>
    <w:rsid w:val="00412A4D"/>
    <w:rsid w:val="00420389"/>
    <w:rsid w:val="00424FF7"/>
    <w:rsid w:val="00431C0B"/>
    <w:rsid w:val="00431D2D"/>
    <w:rsid w:val="0043381A"/>
    <w:rsid w:val="00452D46"/>
    <w:rsid w:val="004534AC"/>
    <w:rsid w:val="00457835"/>
    <w:rsid w:val="004648F4"/>
    <w:rsid w:val="00484398"/>
    <w:rsid w:val="00485CA9"/>
    <w:rsid w:val="0049113C"/>
    <w:rsid w:val="00492A7D"/>
    <w:rsid w:val="00495B7B"/>
    <w:rsid w:val="004D0176"/>
    <w:rsid w:val="004D7501"/>
    <w:rsid w:val="004E11C2"/>
    <w:rsid w:val="004F0F54"/>
    <w:rsid w:val="005014D1"/>
    <w:rsid w:val="00502815"/>
    <w:rsid w:val="00505EC9"/>
    <w:rsid w:val="00506529"/>
    <w:rsid w:val="00507177"/>
    <w:rsid w:val="00515426"/>
    <w:rsid w:val="00515735"/>
    <w:rsid w:val="00524BA6"/>
    <w:rsid w:val="00525136"/>
    <w:rsid w:val="00533F45"/>
    <w:rsid w:val="005430E9"/>
    <w:rsid w:val="00544439"/>
    <w:rsid w:val="005447E2"/>
    <w:rsid w:val="005509C8"/>
    <w:rsid w:val="0059429F"/>
    <w:rsid w:val="005A1323"/>
    <w:rsid w:val="005B5FF2"/>
    <w:rsid w:val="005C2AA3"/>
    <w:rsid w:val="005C2EE4"/>
    <w:rsid w:val="005E5000"/>
    <w:rsid w:val="005F47D7"/>
    <w:rsid w:val="005F4E90"/>
    <w:rsid w:val="005F6FA6"/>
    <w:rsid w:val="0060570F"/>
    <w:rsid w:val="00621765"/>
    <w:rsid w:val="006227BF"/>
    <w:rsid w:val="00631806"/>
    <w:rsid w:val="00631ED0"/>
    <w:rsid w:val="006334B2"/>
    <w:rsid w:val="00633B02"/>
    <w:rsid w:val="0064088E"/>
    <w:rsid w:val="006606CF"/>
    <w:rsid w:val="00674F81"/>
    <w:rsid w:val="006823B7"/>
    <w:rsid w:val="00684B9E"/>
    <w:rsid w:val="006A085B"/>
    <w:rsid w:val="006C0A5D"/>
    <w:rsid w:val="006C3376"/>
    <w:rsid w:val="006C461E"/>
    <w:rsid w:val="006D3A3D"/>
    <w:rsid w:val="00720167"/>
    <w:rsid w:val="0072231C"/>
    <w:rsid w:val="00750E24"/>
    <w:rsid w:val="00773D82"/>
    <w:rsid w:val="007C44D9"/>
    <w:rsid w:val="007C7BCF"/>
    <w:rsid w:val="007E0E19"/>
    <w:rsid w:val="007E7661"/>
    <w:rsid w:val="00802361"/>
    <w:rsid w:val="008028DD"/>
    <w:rsid w:val="008059AD"/>
    <w:rsid w:val="00807C0D"/>
    <w:rsid w:val="00812E54"/>
    <w:rsid w:val="00814747"/>
    <w:rsid w:val="00816911"/>
    <w:rsid w:val="00826823"/>
    <w:rsid w:val="00841BE5"/>
    <w:rsid w:val="00842707"/>
    <w:rsid w:val="00844AA7"/>
    <w:rsid w:val="00844FFB"/>
    <w:rsid w:val="008538A1"/>
    <w:rsid w:val="00864F52"/>
    <w:rsid w:val="008732D2"/>
    <w:rsid w:val="00887406"/>
    <w:rsid w:val="008B2E98"/>
    <w:rsid w:val="008C2840"/>
    <w:rsid w:val="008C4AF3"/>
    <w:rsid w:val="00906964"/>
    <w:rsid w:val="00906D06"/>
    <w:rsid w:val="00910828"/>
    <w:rsid w:val="00923677"/>
    <w:rsid w:val="009262B7"/>
    <w:rsid w:val="0092740C"/>
    <w:rsid w:val="00937CF6"/>
    <w:rsid w:val="00943C8C"/>
    <w:rsid w:val="00963FFD"/>
    <w:rsid w:val="0098640D"/>
    <w:rsid w:val="009908F6"/>
    <w:rsid w:val="009D0CFD"/>
    <w:rsid w:val="00A11E2B"/>
    <w:rsid w:val="00A14827"/>
    <w:rsid w:val="00A15CD4"/>
    <w:rsid w:val="00A20F62"/>
    <w:rsid w:val="00A31765"/>
    <w:rsid w:val="00A42BB5"/>
    <w:rsid w:val="00A43187"/>
    <w:rsid w:val="00A50CE6"/>
    <w:rsid w:val="00A66237"/>
    <w:rsid w:val="00A6709C"/>
    <w:rsid w:val="00A80E7B"/>
    <w:rsid w:val="00A820A4"/>
    <w:rsid w:val="00A82F25"/>
    <w:rsid w:val="00A87C56"/>
    <w:rsid w:val="00A913B1"/>
    <w:rsid w:val="00AC616D"/>
    <w:rsid w:val="00AD7536"/>
    <w:rsid w:val="00AE090A"/>
    <w:rsid w:val="00AE4C21"/>
    <w:rsid w:val="00AE54E9"/>
    <w:rsid w:val="00AF6422"/>
    <w:rsid w:val="00B10A3F"/>
    <w:rsid w:val="00B26044"/>
    <w:rsid w:val="00B5483E"/>
    <w:rsid w:val="00B62DF8"/>
    <w:rsid w:val="00B653BA"/>
    <w:rsid w:val="00B659BA"/>
    <w:rsid w:val="00B70B99"/>
    <w:rsid w:val="00B722B2"/>
    <w:rsid w:val="00BB34C7"/>
    <w:rsid w:val="00BD0D72"/>
    <w:rsid w:val="00BD5AFA"/>
    <w:rsid w:val="00C14FC7"/>
    <w:rsid w:val="00C41F96"/>
    <w:rsid w:val="00C530C1"/>
    <w:rsid w:val="00C54027"/>
    <w:rsid w:val="00C60E5E"/>
    <w:rsid w:val="00C704B8"/>
    <w:rsid w:val="00C86D7A"/>
    <w:rsid w:val="00C97969"/>
    <w:rsid w:val="00CA3781"/>
    <w:rsid w:val="00CA598D"/>
    <w:rsid w:val="00CB2E0B"/>
    <w:rsid w:val="00D21E9D"/>
    <w:rsid w:val="00D27C58"/>
    <w:rsid w:val="00D368BA"/>
    <w:rsid w:val="00D45351"/>
    <w:rsid w:val="00D45797"/>
    <w:rsid w:val="00D56A7F"/>
    <w:rsid w:val="00DE5421"/>
    <w:rsid w:val="00DE75EB"/>
    <w:rsid w:val="00DF296F"/>
    <w:rsid w:val="00DF5A20"/>
    <w:rsid w:val="00DF7062"/>
    <w:rsid w:val="00E1180A"/>
    <w:rsid w:val="00E11BF3"/>
    <w:rsid w:val="00E14483"/>
    <w:rsid w:val="00E313B0"/>
    <w:rsid w:val="00E34860"/>
    <w:rsid w:val="00E37024"/>
    <w:rsid w:val="00E716A7"/>
    <w:rsid w:val="00E8734F"/>
    <w:rsid w:val="00E95454"/>
    <w:rsid w:val="00EA024D"/>
    <w:rsid w:val="00EA1350"/>
    <w:rsid w:val="00EB1219"/>
    <w:rsid w:val="00EB3D11"/>
    <w:rsid w:val="00F319EF"/>
    <w:rsid w:val="00F53560"/>
    <w:rsid w:val="00F62D3D"/>
    <w:rsid w:val="00F8045F"/>
    <w:rsid w:val="00FA26C0"/>
    <w:rsid w:val="00FA3778"/>
    <w:rsid w:val="00FA7DDC"/>
    <w:rsid w:val="00FB15BE"/>
    <w:rsid w:val="00FC4DDD"/>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C979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C97969"/>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ACompletion">
    <w:name w:val="EIA Completion"/>
    <w:basedOn w:val="DefaultParagraphFont"/>
    <w:uiPriority w:val="1"/>
    <w:rsid w:val="00CB2E0B"/>
    <w:rPr>
      <w:rFonts w:ascii="Arial" w:hAnsi="Arial" w:cs="Arial" w:hint="default"/>
      <w:sz w:val="24"/>
    </w:rPr>
  </w:style>
  <w:style w:type="paragraph" w:customStyle="1" w:styleId="TableParagraph">
    <w:name w:val="Table Paragraph"/>
    <w:basedOn w:val="Normal"/>
    <w:uiPriority w:val="1"/>
    <w:qFormat/>
    <w:rsid w:val="00CB2E0B"/>
    <w:pPr>
      <w:widowControl w:val="0"/>
      <w:autoSpaceDE w:val="0"/>
      <w:autoSpaceDN w:val="0"/>
      <w:adjustRightInd w:val="0"/>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439223558">
      <w:bodyDiv w:val="1"/>
      <w:marLeft w:val="0"/>
      <w:marRight w:val="0"/>
      <w:marTop w:val="0"/>
      <w:marBottom w:val="0"/>
      <w:divBdr>
        <w:top w:val="none" w:sz="0" w:space="0" w:color="auto"/>
        <w:left w:val="none" w:sz="0" w:space="0" w:color="auto"/>
        <w:bottom w:val="none" w:sz="0" w:space="0" w:color="auto"/>
        <w:right w:val="none" w:sz="0" w:space="0" w:color="auto"/>
      </w:divBdr>
    </w:div>
    <w:div w:id="983581760">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NECS-1599961520-1302</_dlc_DocId>
    <_dlc_DocIdUrl xmlns="65f02511-e93c-461f-9019-cd992a25a150">
      <Url>https://collab.necsu.nhs.uk/work/NENCICSDTP/_layouts/15/DocIdRedir.aspx?ID=NECS-1599961520-1302</Url>
      <Description>NECS-1599961520-1302</Description>
    </_dlc_DocIdUrl>
    <Folders xmlns="1dac78c3-918c-43eb-8120-ad0b12026302">Documentation</Folders>
    <Category xmlns="1dac78c3-918c-43eb-8120-ad0b12026302">Plans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289DF3-B5B8-45DB-98C6-AEAAE4AFE53A}">
  <ds:schemaRefs>
    <ds:schemaRef ds:uri="http://schemas.microsoft.com/sharepoint/v3/contenttype/forms"/>
  </ds:schemaRefs>
</ds:datastoreItem>
</file>

<file path=customXml/itemProps2.xml><?xml version="1.0" encoding="utf-8"?>
<ds:datastoreItem xmlns:ds="http://schemas.openxmlformats.org/officeDocument/2006/customXml" ds:itemID="{EABDAD69-3F23-4387-8DDD-1FB51D16E444}">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1dac78c3-918c-43eb-8120-ad0b12026302"/>
    <ds:schemaRef ds:uri="65f02511-e93c-461f-9019-cd992a25a150"/>
    <ds:schemaRef ds:uri="http://schemas.microsoft.com/office/2006/metadata/properties"/>
  </ds:schemaRefs>
</ds:datastoreItem>
</file>

<file path=customXml/itemProps3.xml><?xml version="1.0" encoding="utf-8"?>
<ds:datastoreItem xmlns:ds="http://schemas.openxmlformats.org/officeDocument/2006/customXml" ds:itemID="{670E9592-13E9-4EF0-81B4-BA41BF9C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customXml/itemProps5.xml><?xml version="1.0" encoding="utf-8"?>
<ds:datastoreItem xmlns:ds="http://schemas.openxmlformats.org/officeDocument/2006/customXml" ds:itemID="{73835200-3A67-42D4-8CC1-18F2A3C5C2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MINTO, Amber (NHS NORTH OF ENGLAND COMMISSIONING SUPPORT UNIT)</cp:lastModifiedBy>
  <cp:revision>8</cp:revision>
  <cp:lastPrinted>2022-02-03T09:00:00Z</cp:lastPrinted>
  <dcterms:created xsi:type="dcterms:W3CDTF">2022-06-22T12:02:00Z</dcterms:created>
  <dcterms:modified xsi:type="dcterms:W3CDTF">2022-09-30T16:23:00Z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ce558145-1f6d-4b68-8f0d-d4397f621af1</vt:lpwstr>
  </property>
  <property fmtid="{D5CDD505-2E9C-101B-9397-08002B2CF9AE}" pid="3" name="ContentTypeId">
    <vt:lpwstr>0x010100863668BB21C21646952A45A739FF6297</vt:lpwstr>
  </property>
</Properties>
</file>