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177D" w14:textId="4FB6858B" w:rsidR="005C1A9A" w:rsidRDefault="004253C7" w:rsidP="004253C7">
      <w:pPr>
        <w:tabs>
          <w:tab w:val="left" w:pos="6629"/>
        </w:tabs>
        <w:ind w:right="94"/>
        <w:jc w:val="right"/>
      </w:pPr>
      <w:bookmarkStart w:id="0" w:name="_Hlk98164339"/>
      <w:r>
        <w:rPr>
          <w:noProof/>
        </w:rPr>
        <w:drawing>
          <wp:inline distT="0" distB="0" distL="0" distR="0" wp14:anchorId="4AD648B8" wp14:editId="34E378E9">
            <wp:extent cx="1613524" cy="971407"/>
            <wp:effectExtent l="0" t="0" r="6350" b="635"/>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30831" cy="981826"/>
                    </a:xfrm>
                    <a:prstGeom prst="rect">
                      <a:avLst/>
                    </a:prstGeom>
                  </pic:spPr>
                </pic:pic>
              </a:graphicData>
            </a:graphic>
          </wp:inline>
        </w:drawing>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851017" w14:paraId="75FA204C" w14:textId="77777777" w:rsidTr="00851017">
        <w:trPr>
          <w:trHeight w:val="703"/>
          <w:jc w:val="center"/>
        </w:trPr>
        <w:tc>
          <w:tcPr>
            <w:tcW w:w="30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923005" w14:textId="21EB01F3" w:rsidR="00851017" w:rsidRDefault="00851017">
            <w:pPr>
              <w:spacing w:before="120" w:after="120" w:line="276" w:lineRule="auto"/>
              <w:rPr>
                <w:b/>
                <w:sz w:val="32"/>
                <w:szCs w:val="32"/>
              </w:rPr>
            </w:pPr>
            <w:bookmarkStart w:id="1" w:name="_Hlk98841048"/>
            <w:bookmarkStart w:id="2" w:name="_Hlk90396454"/>
            <w:r>
              <w:rPr>
                <w:b/>
                <w:bCs/>
                <w:sz w:val="32"/>
                <w:szCs w:val="32"/>
              </w:rPr>
              <w:t>Human Resources</w:t>
            </w:r>
          </w:p>
        </w:tc>
        <w:tc>
          <w:tcPr>
            <w:tcW w:w="64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548D402" w14:textId="2BE9B492" w:rsidR="00851017" w:rsidRDefault="00851017">
            <w:pPr>
              <w:tabs>
                <w:tab w:val="left" w:pos="1734"/>
              </w:tabs>
              <w:spacing w:before="120" w:after="120" w:line="276" w:lineRule="auto"/>
              <w:rPr>
                <w:b/>
                <w:sz w:val="32"/>
                <w:szCs w:val="32"/>
              </w:rPr>
            </w:pPr>
            <w:r>
              <w:rPr>
                <w:b/>
                <w:sz w:val="32"/>
                <w:szCs w:val="32"/>
              </w:rPr>
              <w:t>HR36 Working Time Directive Policy</w:t>
            </w:r>
          </w:p>
        </w:tc>
      </w:tr>
    </w:tbl>
    <w:tbl>
      <w:tblPr>
        <w:tblStyle w:val="TableGrid"/>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851017" w14:paraId="3C2D5AC7" w14:textId="77777777" w:rsidTr="00851017">
        <w:trPr>
          <w:gridAfter w:val="3"/>
          <w:wAfter w:w="6650" w:type="dxa"/>
          <w:trHeight w:val="133"/>
          <w:jc w:val="center"/>
        </w:trPr>
        <w:tc>
          <w:tcPr>
            <w:tcW w:w="2810" w:type="dxa"/>
          </w:tcPr>
          <w:p w14:paraId="17B60011" w14:textId="77777777" w:rsidR="00851017" w:rsidRDefault="00851017">
            <w:pPr>
              <w:pStyle w:val="NoSpacing"/>
              <w:jc w:val="center"/>
              <w:rPr>
                <w:rFonts w:ascii="Arial" w:eastAsiaTheme="minorHAnsi" w:hAnsi="Arial" w:cs="Arial"/>
                <w:b/>
                <w:sz w:val="36"/>
                <w:szCs w:val="36"/>
              </w:rPr>
            </w:pPr>
          </w:p>
        </w:tc>
      </w:tr>
      <w:tr w:rsidR="00851017" w14:paraId="45B2029D" w14:textId="77777777" w:rsidTr="00851017">
        <w:trPr>
          <w:trHeight w:val="427"/>
          <w:jc w:val="center"/>
        </w:trPr>
        <w:tc>
          <w:tcPr>
            <w:tcW w:w="3090" w:type="dxa"/>
            <w:gridSpan w:val="2"/>
            <w:tcBorders>
              <w:top w:val="single" w:sz="4" w:space="0" w:color="auto"/>
              <w:left w:val="single" w:sz="4" w:space="0" w:color="auto"/>
              <w:bottom w:val="single" w:sz="4" w:space="0" w:color="auto"/>
              <w:right w:val="single" w:sz="4" w:space="0" w:color="auto"/>
            </w:tcBorders>
            <w:hideMark/>
          </w:tcPr>
          <w:p w14:paraId="33004C86" w14:textId="77777777" w:rsidR="00851017" w:rsidRDefault="00851017">
            <w:pPr>
              <w:spacing w:before="60"/>
              <w:rPr>
                <w:rFonts w:cs="Tahoma"/>
                <w:b/>
              </w:rPr>
            </w:pPr>
            <w:r>
              <w:rPr>
                <w:rFonts w:cs="Tahoma"/>
                <w:b/>
              </w:rPr>
              <w:t>Version Number</w:t>
            </w:r>
          </w:p>
        </w:tc>
        <w:tc>
          <w:tcPr>
            <w:tcW w:w="3090" w:type="dxa"/>
            <w:tcBorders>
              <w:top w:val="single" w:sz="4" w:space="0" w:color="auto"/>
              <w:left w:val="single" w:sz="4" w:space="0" w:color="auto"/>
              <w:bottom w:val="single" w:sz="4" w:space="0" w:color="auto"/>
              <w:right w:val="single" w:sz="4" w:space="0" w:color="auto"/>
            </w:tcBorders>
            <w:hideMark/>
          </w:tcPr>
          <w:p w14:paraId="2D848E6B" w14:textId="77777777" w:rsidR="00851017" w:rsidRDefault="00851017">
            <w:pPr>
              <w:spacing w:before="60"/>
              <w:rPr>
                <w:rFonts w:cs="Tahoma"/>
              </w:rPr>
            </w:pPr>
            <w:r>
              <w:rPr>
                <w:rFonts w:cs="Tahoma"/>
                <w:b/>
              </w:rPr>
              <w:t xml:space="preserve">Date Issued </w:t>
            </w:r>
          </w:p>
        </w:tc>
        <w:tc>
          <w:tcPr>
            <w:tcW w:w="3280" w:type="dxa"/>
            <w:tcBorders>
              <w:top w:val="single" w:sz="4" w:space="0" w:color="auto"/>
              <w:left w:val="single" w:sz="4" w:space="0" w:color="auto"/>
              <w:bottom w:val="single" w:sz="4" w:space="0" w:color="auto"/>
              <w:right w:val="single" w:sz="4" w:space="0" w:color="auto"/>
            </w:tcBorders>
            <w:hideMark/>
          </w:tcPr>
          <w:p w14:paraId="51585B43" w14:textId="77777777" w:rsidR="00851017" w:rsidRDefault="00851017">
            <w:pPr>
              <w:spacing w:before="60"/>
              <w:rPr>
                <w:rFonts w:cs="Tahoma"/>
              </w:rPr>
            </w:pPr>
            <w:r>
              <w:rPr>
                <w:rFonts w:cs="Tahoma"/>
                <w:b/>
              </w:rPr>
              <w:t>Review Date</w:t>
            </w:r>
          </w:p>
        </w:tc>
      </w:tr>
      <w:tr w:rsidR="00FA683D" w14:paraId="41A0A744" w14:textId="77777777" w:rsidTr="00851017">
        <w:trPr>
          <w:trHeight w:val="382"/>
          <w:jc w:val="center"/>
        </w:trPr>
        <w:tc>
          <w:tcPr>
            <w:tcW w:w="3090" w:type="dxa"/>
            <w:gridSpan w:val="2"/>
            <w:tcBorders>
              <w:top w:val="single" w:sz="4" w:space="0" w:color="auto"/>
              <w:left w:val="single" w:sz="4" w:space="0" w:color="auto"/>
              <w:bottom w:val="single" w:sz="4" w:space="0" w:color="auto"/>
              <w:right w:val="single" w:sz="4" w:space="0" w:color="auto"/>
            </w:tcBorders>
            <w:hideMark/>
          </w:tcPr>
          <w:p w14:paraId="591B22BE" w14:textId="254C61D4" w:rsidR="00FA683D" w:rsidRDefault="00FA683D" w:rsidP="00FA683D">
            <w:pPr>
              <w:spacing w:before="60"/>
              <w:rPr>
                <w:rFonts w:cs="Tahoma"/>
                <w:b/>
              </w:rPr>
            </w:pPr>
            <w:r w:rsidRPr="00FB2D03">
              <w:rPr>
                <w:rFonts w:cs="Tahoma"/>
                <w:b/>
                <w:color w:val="FF0000"/>
              </w:rPr>
              <w:t>1.0</w:t>
            </w:r>
          </w:p>
        </w:tc>
        <w:tc>
          <w:tcPr>
            <w:tcW w:w="3090" w:type="dxa"/>
            <w:tcBorders>
              <w:top w:val="single" w:sz="4" w:space="0" w:color="auto"/>
              <w:left w:val="single" w:sz="4" w:space="0" w:color="auto"/>
              <w:bottom w:val="single" w:sz="4" w:space="0" w:color="auto"/>
              <w:right w:val="single" w:sz="4" w:space="0" w:color="auto"/>
            </w:tcBorders>
          </w:tcPr>
          <w:p w14:paraId="0110A779" w14:textId="7E51BBEF" w:rsidR="00FA683D" w:rsidRDefault="00FA683D" w:rsidP="00FA683D">
            <w:pPr>
              <w:spacing w:before="60"/>
              <w:rPr>
                <w:rFonts w:cs="Tahoma"/>
              </w:rPr>
            </w:pPr>
            <w:r w:rsidRPr="00FB2D03">
              <w:rPr>
                <w:rFonts w:cs="Tahoma"/>
                <w:color w:val="FF0000"/>
              </w:rPr>
              <w:t>July 2022</w:t>
            </w:r>
          </w:p>
        </w:tc>
        <w:tc>
          <w:tcPr>
            <w:tcW w:w="3280" w:type="dxa"/>
            <w:tcBorders>
              <w:top w:val="single" w:sz="4" w:space="0" w:color="auto"/>
              <w:left w:val="single" w:sz="4" w:space="0" w:color="auto"/>
              <w:bottom w:val="single" w:sz="4" w:space="0" w:color="auto"/>
              <w:right w:val="single" w:sz="4" w:space="0" w:color="auto"/>
            </w:tcBorders>
          </w:tcPr>
          <w:p w14:paraId="76F57544" w14:textId="20A3A953" w:rsidR="00FA683D" w:rsidRDefault="00FA683D" w:rsidP="00FA683D">
            <w:pPr>
              <w:spacing w:before="60"/>
              <w:rPr>
                <w:rFonts w:cs="Tahoma"/>
              </w:rPr>
            </w:pPr>
            <w:r w:rsidRPr="00FB2D03">
              <w:rPr>
                <w:rFonts w:cs="Tahoma"/>
                <w:color w:val="FF0000"/>
              </w:rPr>
              <w:t>July 202</w:t>
            </w:r>
            <w:r>
              <w:rPr>
                <w:rFonts w:cs="Tahoma"/>
                <w:color w:val="FF0000"/>
              </w:rPr>
              <w:t>5</w:t>
            </w:r>
          </w:p>
        </w:tc>
      </w:tr>
    </w:tbl>
    <w:p w14:paraId="4B3DC0EE" w14:textId="77777777" w:rsidR="00851017" w:rsidRDefault="00851017" w:rsidP="00851017">
      <w:pPr>
        <w:pStyle w:val="NoSpacing"/>
        <w:rPr>
          <w:rFonts w:ascii="Arial" w:eastAsiaTheme="minorHAnsi"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851017" w14:paraId="1F16FE23" w14:textId="77777777" w:rsidTr="00851017">
        <w:trPr>
          <w:trHeight w:val="397"/>
          <w:jc w:val="center"/>
        </w:trPr>
        <w:tc>
          <w:tcPr>
            <w:tcW w:w="4076" w:type="dxa"/>
            <w:tcBorders>
              <w:top w:val="single" w:sz="4" w:space="0" w:color="auto"/>
              <w:left w:val="single" w:sz="4" w:space="0" w:color="auto"/>
              <w:bottom w:val="single" w:sz="4" w:space="0" w:color="auto"/>
              <w:right w:val="single" w:sz="4" w:space="0" w:color="auto"/>
            </w:tcBorders>
            <w:hideMark/>
          </w:tcPr>
          <w:p w14:paraId="1B1F5383" w14:textId="77777777" w:rsidR="00851017" w:rsidRDefault="00851017">
            <w:pPr>
              <w:spacing w:before="60" w:line="276" w:lineRule="auto"/>
              <w:rPr>
                <w:rFonts w:cs="Tahoma"/>
                <w:b/>
              </w:rPr>
            </w:pPr>
            <w:r>
              <w:rPr>
                <w:rFonts w:cs="Tahoma"/>
                <w:b/>
              </w:rPr>
              <w:t>Prepared By:</w:t>
            </w:r>
          </w:p>
        </w:tc>
        <w:tc>
          <w:tcPr>
            <w:tcW w:w="5496" w:type="dxa"/>
            <w:tcBorders>
              <w:top w:val="single" w:sz="4" w:space="0" w:color="auto"/>
              <w:left w:val="single" w:sz="4" w:space="0" w:color="auto"/>
              <w:bottom w:val="single" w:sz="4" w:space="0" w:color="auto"/>
              <w:right w:val="single" w:sz="4" w:space="0" w:color="auto"/>
            </w:tcBorders>
            <w:hideMark/>
          </w:tcPr>
          <w:p w14:paraId="1BD39565" w14:textId="77777777" w:rsidR="00851017" w:rsidRDefault="00851017">
            <w:pPr>
              <w:spacing w:line="276" w:lineRule="auto"/>
              <w:rPr>
                <w:rFonts w:cs="Tahoma"/>
              </w:rPr>
            </w:pPr>
            <w:r>
              <w:rPr>
                <w:rFonts w:cs="Tahoma"/>
              </w:rPr>
              <w:t>Kirstin Brundle</w:t>
            </w:r>
          </w:p>
        </w:tc>
      </w:tr>
      <w:tr w:rsidR="00FA683D" w14:paraId="51E3CA4C" w14:textId="77777777" w:rsidTr="00851017">
        <w:trPr>
          <w:trHeight w:val="397"/>
          <w:jc w:val="center"/>
        </w:trPr>
        <w:tc>
          <w:tcPr>
            <w:tcW w:w="4076" w:type="dxa"/>
            <w:tcBorders>
              <w:top w:val="single" w:sz="4" w:space="0" w:color="auto"/>
              <w:left w:val="single" w:sz="4" w:space="0" w:color="auto"/>
              <w:bottom w:val="single" w:sz="4" w:space="0" w:color="auto"/>
              <w:right w:val="single" w:sz="4" w:space="0" w:color="auto"/>
            </w:tcBorders>
            <w:hideMark/>
          </w:tcPr>
          <w:p w14:paraId="50205244" w14:textId="77777777" w:rsidR="00FA683D" w:rsidRDefault="00FA683D" w:rsidP="00FA683D">
            <w:pPr>
              <w:spacing w:before="60" w:line="276" w:lineRule="auto"/>
              <w:rPr>
                <w:rFonts w:cs="Tahoma"/>
                <w:b/>
              </w:rPr>
            </w:pPr>
            <w:r>
              <w:rPr>
                <w:rFonts w:cs="Tahoma"/>
                <w:b/>
              </w:rPr>
              <w:t>Consultation Process:</w:t>
            </w:r>
          </w:p>
        </w:tc>
        <w:tc>
          <w:tcPr>
            <w:tcW w:w="5496" w:type="dxa"/>
            <w:tcBorders>
              <w:top w:val="single" w:sz="4" w:space="0" w:color="auto"/>
              <w:left w:val="single" w:sz="4" w:space="0" w:color="auto"/>
              <w:bottom w:val="single" w:sz="4" w:space="0" w:color="auto"/>
              <w:right w:val="single" w:sz="4" w:space="0" w:color="auto"/>
            </w:tcBorders>
          </w:tcPr>
          <w:p w14:paraId="0300D479" w14:textId="1AD66D74" w:rsidR="00FA683D" w:rsidRDefault="00FA683D" w:rsidP="00FA683D">
            <w:pPr>
              <w:spacing w:before="60" w:line="276" w:lineRule="auto"/>
              <w:rPr>
                <w:rFonts w:eastAsiaTheme="minorHAnsi" w:cs="Tahoma"/>
                <w:lang w:val="en-US"/>
              </w:rPr>
            </w:pPr>
            <w:r w:rsidRPr="00D875FE">
              <w:rPr>
                <w:rFonts w:cs="Tahoma"/>
                <w:lang w:val="en-US"/>
              </w:rPr>
              <w:t>North of England Commissioning Support (NECS) in partnership with CCG management and Trade Union organisations via the HR Policy Working Group and the CCG Partnership Forum.</w:t>
            </w:r>
          </w:p>
        </w:tc>
      </w:tr>
      <w:tr w:rsidR="00FA683D" w14:paraId="4537621B" w14:textId="77777777" w:rsidTr="00851017">
        <w:trPr>
          <w:trHeight w:val="397"/>
          <w:jc w:val="center"/>
        </w:trPr>
        <w:tc>
          <w:tcPr>
            <w:tcW w:w="4076" w:type="dxa"/>
            <w:tcBorders>
              <w:top w:val="single" w:sz="4" w:space="0" w:color="auto"/>
              <w:left w:val="single" w:sz="4" w:space="0" w:color="auto"/>
              <w:bottom w:val="single" w:sz="4" w:space="0" w:color="auto"/>
              <w:right w:val="single" w:sz="4" w:space="0" w:color="auto"/>
            </w:tcBorders>
            <w:hideMark/>
          </w:tcPr>
          <w:p w14:paraId="2AD4A320" w14:textId="77777777" w:rsidR="00FA683D" w:rsidRDefault="00FA683D" w:rsidP="00FA683D">
            <w:pPr>
              <w:spacing w:before="60" w:line="276" w:lineRule="auto"/>
              <w:rPr>
                <w:rFonts w:cs="Tahoma"/>
                <w:b/>
              </w:rPr>
            </w:pPr>
            <w:r>
              <w:rPr>
                <w:rFonts w:cs="Tahoma"/>
                <w:b/>
              </w:rPr>
              <w:t>Formally Approved:</w:t>
            </w:r>
          </w:p>
        </w:tc>
        <w:tc>
          <w:tcPr>
            <w:tcW w:w="5496" w:type="dxa"/>
            <w:tcBorders>
              <w:top w:val="single" w:sz="4" w:space="0" w:color="auto"/>
              <w:left w:val="single" w:sz="4" w:space="0" w:color="auto"/>
              <w:bottom w:val="single" w:sz="4" w:space="0" w:color="auto"/>
              <w:right w:val="single" w:sz="4" w:space="0" w:color="auto"/>
            </w:tcBorders>
          </w:tcPr>
          <w:p w14:paraId="3A82C11E" w14:textId="2F31AA92" w:rsidR="00FA683D" w:rsidRDefault="00FA683D" w:rsidP="00FA683D">
            <w:pPr>
              <w:spacing w:before="60" w:line="276" w:lineRule="auto"/>
              <w:rPr>
                <w:rFonts w:eastAsiaTheme="minorHAnsi" w:cs="Tahoma"/>
                <w:lang w:val="en-US"/>
              </w:rPr>
            </w:pPr>
            <w:r w:rsidRPr="00F57314">
              <w:rPr>
                <w:rFonts w:cs="Tahoma"/>
                <w:color w:val="FF0000"/>
                <w:lang w:val="en-US"/>
              </w:rPr>
              <w:t>July 2022</w:t>
            </w:r>
          </w:p>
        </w:tc>
      </w:tr>
      <w:tr w:rsidR="00FA683D" w14:paraId="0AEB1B3F" w14:textId="77777777" w:rsidTr="00851017">
        <w:trPr>
          <w:trHeight w:val="397"/>
          <w:jc w:val="center"/>
        </w:trPr>
        <w:tc>
          <w:tcPr>
            <w:tcW w:w="4076" w:type="dxa"/>
            <w:tcBorders>
              <w:top w:val="single" w:sz="4" w:space="0" w:color="auto"/>
              <w:left w:val="single" w:sz="4" w:space="0" w:color="auto"/>
              <w:bottom w:val="single" w:sz="4" w:space="0" w:color="auto"/>
              <w:right w:val="single" w:sz="4" w:space="0" w:color="auto"/>
            </w:tcBorders>
            <w:hideMark/>
          </w:tcPr>
          <w:p w14:paraId="78BB8736" w14:textId="77777777" w:rsidR="00FA683D" w:rsidRDefault="00FA683D" w:rsidP="00FA683D">
            <w:pPr>
              <w:spacing w:before="60" w:line="276" w:lineRule="auto"/>
              <w:rPr>
                <w:rFonts w:cs="Tahoma"/>
                <w:b/>
              </w:rPr>
            </w:pPr>
            <w:r>
              <w:rPr>
                <w:rFonts w:cs="Tahoma"/>
                <w:b/>
              </w:rPr>
              <w:t>Approved By:</w:t>
            </w:r>
          </w:p>
        </w:tc>
        <w:tc>
          <w:tcPr>
            <w:tcW w:w="5496" w:type="dxa"/>
            <w:tcBorders>
              <w:top w:val="single" w:sz="4" w:space="0" w:color="auto"/>
              <w:left w:val="single" w:sz="4" w:space="0" w:color="auto"/>
              <w:bottom w:val="single" w:sz="4" w:space="0" w:color="auto"/>
              <w:right w:val="single" w:sz="4" w:space="0" w:color="auto"/>
            </w:tcBorders>
          </w:tcPr>
          <w:p w14:paraId="4D3F27EA" w14:textId="1F697C0E" w:rsidR="00FA683D" w:rsidRDefault="00FA683D" w:rsidP="00FA683D">
            <w:pPr>
              <w:spacing w:before="60" w:line="276" w:lineRule="auto"/>
              <w:rPr>
                <w:rFonts w:cs="Tahoma"/>
              </w:rPr>
            </w:pPr>
            <w:r w:rsidRPr="00F57314">
              <w:rPr>
                <w:rFonts w:cs="Tahoma"/>
                <w:color w:val="FF0000"/>
              </w:rPr>
              <w:t>ICB Board</w:t>
            </w:r>
          </w:p>
        </w:tc>
      </w:tr>
    </w:tbl>
    <w:p w14:paraId="7880EE30" w14:textId="77777777" w:rsidR="00851017" w:rsidRDefault="00851017" w:rsidP="00851017">
      <w:pPr>
        <w:keepLines/>
        <w:rPr>
          <w:rFonts w:cs="Tahoma"/>
          <w:b/>
          <w:lang w:eastAsia="en-US"/>
        </w:rPr>
      </w:pPr>
    </w:p>
    <w:p w14:paraId="053EB162" w14:textId="77777777" w:rsidR="00851017" w:rsidRDefault="00851017" w:rsidP="00851017">
      <w:pPr>
        <w:ind w:left="142"/>
        <w:rPr>
          <w:rFonts w:cs="Tahoma"/>
          <w:b/>
          <w:sz w:val="28"/>
          <w:szCs w:val="28"/>
        </w:rPr>
      </w:pPr>
      <w:r>
        <w:rPr>
          <w:rFonts w:cs="Tahoma"/>
          <w:b/>
          <w:sz w:val="28"/>
          <w:szCs w:val="28"/>
        </w:rPr>
        <w:t>EQUALITY IMPACT ASSESSMENT</w:t>
      </w:r>
    </w:p>
    <w:p w14:paraId="5127BF83" w14:textId="77777777" w:rsidR="00851017" w:rsidRDefault="00851017" w:rsidP="00851017">
      <w:pPr>
        <w:ind w:left="142"/>
        <w:rPr>
          <w:rFonts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11"/>
      </w:tblGrid>
      <w:tr w:rsidR="00851017" w14:paraId="2567D5D6" w14:textId="77777777" w:rsidTr="00851017">
        <w:trPr>
          <w:trHeight w:val="314"/>
          <w:jc w:val="center"/>
        </w:trPr>
        <w:tc>
          <w:tcPr>
            <w:tcW w:w="2235" w:type="dxa"/>
            <w:tcBorders>
              <w:top w:val="single" w:sz="4" w:space="0" w:color="auto"/>
              <w:left w:val="single" w:sz="4" w:space="0" w:color="auto"/>
              <w:bottom w:val="single" w:sz="4" w:space="0" w:color="auto"/>
              <w:right w:val="single" w:sz="4" w:space="0" w:color="auto"/>
            </w:tcBorders>
            <w:hideMark/>
          </w:tcPr>
          <w:p w14:paraId="7CEAE64B" w14:textId="77777777" w:rsidR="00851017" w:rsidRDefault="00851017">
            <w:pPr>
              <w:spacing w:before="60" w:line="276" w:lineRule="auto"/>
              <w:rPr>
                <w:rFonts w:cs="Tahoma"/>
                <w:b/>
              </w:rPr>
            </w:pPr>
            <w:r>
              <w:rPr>
                <w:rFonts w:cs="Tahoma"/>
                <w:b/>
              </w:rPr>
              <w:t>Date</w:t>
            </w:r>
          </w:p>
        </w:tc>
        <w:tc>
          <w:tcPr>
            <w:tcW w:w="7211" w:type="dxa"/>
            <w:tcBorders>
              <w:top w:val="single" w:sz="4" w:space="0" w:color="auto"/>
              <w:left w:val="single" w:sz="4" w:space="0" w:color="auto"/>
              <w:bottom w:val="single" w:sz="4" w:space="0" w:color="auto"/>
              <w:right w:val="single" w:sz="4" w:space="0" w:color="auto"/>
            </w:tcBorders>
            <w:hideMark/>
          </w:tcPr>
          <w:p w14:paraId="5A91C60D" w14:textId="77777777" w:rsidR="00851017" w:rsidRDefault="00851017">
            <w:pPr>
              <w:spacing w:before="60" w:line="276" w:lineRule="auto"/>
              <w:rPr>
                <w:rFonts w:cs="Tahoma"/>
                <w:b/>
              </w:rPr>
            </w:pPr>
            <w:r>
              <w:rPr>
                <w:rFonts w:cs="Tahoma"/>
                <w:b/>
              </w:rPr>
              <w:t>Issues</w:t>
            </w:r>
          </w:p>
        </w:tc>
      </w:tr>
      <w:tr w:rsidR="00851017" w14:paraId="50266A38" w14:textId="77777777" w:rsidTr="00851017">
        <w:trPr>
          <w:trHeight w:val="397"/>
          <w:jc w:val="center"/>
        </w:trPr>
        <w:tc>
          <w:tcPr>
            <w:tcW w:w="2235" w:type="dxa"/>
            <w:tcBorders>
              <w:top w:val="single" w:sz="4" w:space="0" w:color="auto"/>
              <w:left w:val="single" w:sz="4" w:space="0" w:color="auto"/>
              <w:bottom w:val="single" w:sz="4" w:space="0" w:color="auto"/>
              <w:right w:val="single" w:sz="4" w:space="0" w:color="auto"/>
            </w:tcBorders>
            <w:hideMark/>
          </w:tcPr>
          <w:p w14:paraId="1B8348EA" w14:textId="3560DBD3" w:rsidR="00851017" w:rsidRDefault="00851017">
            <w:pPr>
              <w:spacing w:before="60" w:line="276" w:lineRule="auto"/>
              <w:rPr>
                <w:rFonts w:cs="Tahoma"/>
              </w:rPr>
            </w:pPr>
          </w:p>
        </w:tc>
        <w:tc>
          <w:tcPr>
            <w:tcW w:w="7211" w:type="dxa"/>
            <w:tcBorders>
              <w:top w:val="single" w:sz="4" w:space="0" w:color="auto"/>
              <w:left w:val="single" w:sz="4" w:space="0" w:color="auto"/>
              <w:bottom w:val="single" w:sz="4" w:space="0" w:color="auto"/>
              <w:right w:val="single" w:sz="4" w:space="0" w:color="auto"/>
            </w:tcBorders>
          </w:tcPr>
          <w:p w14:paraId="1690E824" w14:textId="60824498" w:rsidR="00851017" w:rsidRDefault="00FA683D">
            <w:pPr>
              <w:spacing w:before="60" w:line="276" w:lineRule="auto"/>
              <w:rPr>
                <w:rFonts w:cs="Tahoma"/>
              </w:rPr>
            </w:pPr>
            <w:r w:rsidRPr="00CC3D11">
              <w:rPr>
                <w:rFonts w:cs="Tahoma"/>
              </w:rPr>
              <w:t>To be completed, as outlined in the agreed 2022/23 HR EIA review schedule.</w:t>
            </w:r>
          </w:p>
        </w:tc>
      </w:tr>
    </w:tbl>
    <w:p w14:paraId="6CC5C893" w14:textId="77777777" w:rsidR="00851017" w:rsidRDefault="00851017" w:rsidP="00851017">
      <w:pPr>
        <w:keepLines/>
        <w:tabs>
          <w:tab w:val="center" w:pos="4320"/>
          <w:tab w:val="right" w:pos="8640"/>
        </w:tabs>
        <w:rPr>
          <w:b/>
          <w:bCs/>
          <w:lang w:eastAsia="en-US"/>
        </w:rPr>
      </w:pPr>
    </w:p>
    <w:p w14:paraId="7AAC8E42" w14:textId="77777777" w:rsidR="00851017" w:rsidRDefault="00851017" w:rsidP="00851017">
      <w:pPr>
        <w:keepLines/>
        <w:tabs>
          <w:tab w:val="center" w:pos="4320"/>
          <w:tab w:val="right" w:pos="8640"/>
        </w:tabs>
        <w:ind w:left="142"/>
        <w:rPr>
          <w:sz w:val="28"/>
          <w:szCs w:val="28"/>
        </w:rPr>
      </w:pPr>
      <w:r>
        <w:rPr>
          <w:b/>
          <w:bCs/>
          <w:sz w:val="28"/>
          <w:szCs w:val="28"/>
        </w:rPr>
        <w:t>POLICY VALIDITY STATEMENT</w:t>
      </w:r>
    </w:p>
    <w:p w14:paraId="48DA78AE" w14:textId="77777777" w:rsidR="00851017" w:rsidRDefault="00851017" w:rsidP="00851017">
      <w:pPr>
        <w:pStyle w:val="NoSpacing"/>
        <w:ind w:left="142"/>
        <w:jc w:val="both"/>
        <w:rPr>
          <w:rFonts w:ascii="Arial" w:eastAsiaTheme="minorHAnsi" w:hAnsi="Arial" w:cs="Arial"/>
          <w:sz w:val="24"/>
          <w:szCs w:val="24"/>
        </w:rPr>
      </w:pPr>
      <w:r>
        <w:rPr>
          <w:rFonts w:ascii="Arial" w:eastAsia="Times New Roman" w:hAnsi="Arial" w:cs="Arial"/>
          <w:bCs/>
          <w:sz w:val="24"/>
          <w:szCs w:val="24"/>
        </w:rPr>
        <w:t xml:space="preserve">Policy users should ensure that they are consulting the currently valid version of the documentation. </w:t>
      </w:r>
      <w:r>
        <w:rPr>
          <w:rFonts w:ascii="Arial" w:hAnsi="Arial" w:cs="Arial"/>
          <w:sz w:val="24"/>
          <w:szCs w:val="24"/>
        </w:rPr>
        <w:t>The policy will remain valid, including during its period of review.  However, the policy must be reviewed at least once in every 3-year period.</w:t>
      </w:r>
    </w:p>
    <w:p w14:paraId="00548B0C" w14:textId="77777777" w:rsidR="00851017" w:rsidRDefault="00851017" w:rsidP="00851017">
      <w:pPr>
        <w:keepLines/>
        <w:ind w:left="142"/>
        <w:rPr>
          <w:bCs/>
        </w:rPr>
      </w:pPr>
    </w:p>
    <w:p w14:paraId="46670B0C" w14:textId="77777777" w:rsidR="00851017" w:rsidRDefault="00851017" w:rsidP="00851017">
      <w:pPr>
        <w:ind w:left="142"/>
        <w:rPr>
          <w:rFonts w:eastAsiaTheme="minorHAnsi"/>
          <w:b/>
          <w:bCs/>
          <w:sz w:val="28"/>
          <w:szCs w:val="28"/>
        </w:rPr>
      </w:pPr>
      <w:r>
        <w:rPr>
          <w:b/>
          <w:bCs/>
          <w:sz w:val="28"/>
          <w:szCs w:val="28"/>
        </w:rPr>
        <w:t>ACCESSIBLE INFORMATION STANDARDS</w:t>
      </w:r>
    </w:p>
    <w:p w14:paraId="7A1FB455" w14:textId="7A12C21A" w:rsidR="00851017" w:rsidRDefault="00851017" w:rsidP="00851017">
      <w:pPr>
        <w:ind w:left="142"/>
        <w:rPr>
          <w:bCs/>
        </w:rPr>
      </w:pPr>
      <w:r>
        <w:rPr>
          <w:bCs/>
        </w:rPr>
        <w:t xml:space="preserve">If you require this document in an alternative format, such as easy read, large text, </w:t>
      </w:r>
      <w:proofErr w:type="gramStart"/>
      <w:r>
        <w:rPr>
          <w:bCs/>
        </w:rPr>
        <w:t>braille</w:t>
      </w:r>
      <w:proofErr w:type="gramEnd"/>
      <w:r>
        <w:rPr>
          <w:bCs/>
        </w:rPr>
        <w:t xml:space="preserve"> or an alternative language please contact </w:t>
      </w:r>
      <w:hyperlink r:id="rId13" w:history="1">
        <w:r w:rsidR="0071518C">
          <w:rPr>
            <w:rStyle w:val="Hyperlink"/>
          </w:rPr>
          <w:t>necsu.icbhr@nhs.net</w:t>
        </w:r>
      </w:hyperlink>
    </w:p>
    <w:p w14:paraId="2D561B77" w14:textId="77777777" w:rsidR="00851017" w:rsidRDefault="00851017" w:rsidP="00851017">
      <w:pPr>
        <w:pStyle w:val="NoSpacing"/>
        <w:jc w:val="both"/>
        <w:rPr>
          <w:rFonts w:ascii="Arial" w:eastAsia="Times New Roman" w:hAnsi="Arial" w:cs="Arial"/>
          <w:b/>
          <w:bCs/>
          <w:sz w:val="28"/>
          <w:szCs w:val="24"/>
        </w:rPr>
      </w:pPr>
    </w:p>
    <w:p w14:paraId="5B685E00" w14:textId="77777777" w:rsidR="00851017" w:rsidRDefault="00851017" w:rsidP="00851017">
      <w:pPr>
        <w:pStyle w:val="NoSpacing"/>
        <w:rPr>
          <w:rFonts w:ascii="Arial" w:eastAsiaTheme="minorHAnsi" w:hAnsi="Arial" w:cs="Arial"/>
          <w:b/>
          <w:sz w:val="32"/>
          <w:szCs w:val="32"/>
        </w:rPr>
      </w:pPr>
      <w:r>
        <w:rPr>
          <w:b/>
          <w:sz w:val="32"/>
          <w:szCs w:val="32"/>
        </w:rPr>
        <w:br w:type="page"/>
      </w:r>
      <w:r>
        <w:rPr>
          <w:rFonts w:ascii="Arial" w:hAnsi="Arial" w:cs="Arial"/>
          <w:b/>
          <w:sz w:val="32"/>
          <w:szCs w:val="32"/>
        </w:rPr>
        <w:lastRenderedPageBreak/>
        <w:t>Version Control</w:t>
      </w:r>
    </w:p>
    <w:p w14:paraId="4DEB0190" w14:textId="77777777" w:rsidR="00851017" w:rsidRDefault="00851017" w:rsidP="00851017">
      <w:pPr>
        <w:pStyle w:val="NoSpacing"/>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64"/>
        <w:gridCol w:w="2293"/>
        <w:gridCol w:w="2232"/>
        <w:gridCol w:w="4202"/>
      </w:tblGrid>
      <w:tr w:rsidR="00851017" w14:paraId="102195C5" w14:textId="77777777" w:rsidTr="00FA683D">
        <w:trPr>
          <w:trHeight w:val="630"/>
        </w:trPr>
        <w:tc>
          <w:tcPr>
            <w:tcW w:w="676" w:type="pct"/>
            <w:tcBorders>
              <w:top w:val="single" w:sz="4" w:space="0" w:color="C0C0C0"/>
              <w:left w:val="single" w:sz="4" w:space="0" w:color="C0C0C0"/>
              <w:bottom w:val="single" w:sz="4" w:space="0" w:color="C0C0C0"/>
              <w:right w:val="single" w:sz="4" w:space="0" w:color="C0C0C0"/>
            </w:tcBorders>
            <w:shd w:val="clear" w:color="auto" w:fill="D9D9D9"/>
            <w:hideMark/>
          </w:tcPr>
          <w:p w14:paraId="4BA7C9CD" w14:textId="77777777" w:rsidR="00851017" w:rsidRDefault="00851017">
            <w:pPr>
              <w:spacing w:before="120" w:after="120" w:line="240" w:lineRule="exact"/>
              <w:rPr>
                <w:b/>
                <w:sz w:val="22"/>
                <w:szCs w:val="20"/>
              </w:rPr>
            </w:pPr>
            <w:r>
              <w:rPr>
                <w:b/>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7EF5AB2A" w14:textId="77777777" w:rsidR="00851017" w:rsidRDefault="00851017">
            <w:pPr>
              <w:spacing w:before="120" w:after="120" w:line="240" w:lineRule="exact"/>
              <w:rPr>
                <w:b/>
                <w:sz w:val="22"/>
                <w:szCs w:val="20"/>
              </w:rPr>
            </w:pPr>
            <w:r>
              <w:rPr>
                <w:b/>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31B46777" w14:textId="77777777" w:rsidR="00851017" w:rsidRDefault="00851017">
            <w:pPr>
              <w:spacing w:before="120" w:after="120" w:line="240" w:lineRule="exact"/>
              <w:rPr>
                <w:b/>
                <w:sz w:val="22"/>
                <w:szCs w:val="20"/>
              </w:rPr>
            </w:pPr>
            <w:r>
              <w:rPr>
                <w:b/>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70F207C9" w14:textId="77777777" w:rsidR="00851017" w:rsidRDefault="00851017">
            <w:pPr>
              <w:spacing w:before="120" w:after="120" w:line="240" w:lineRule="exact"/>
              <w:rPr>
                <w:b/>
                <w:sz w:val="22"/>
                <w:szCs w:val="20"/>
              </w:rPr>
            </w:pPr>
            <w:r>
              <w:rPr>
                <w:b/>
                <w:szCs w:val="20"/>
              </w:rPr>
              <w:t>Update comments</w:t>
            </w:r>
          </w:p>
        </w:tc>
      </w:tr>
      <w:tr w:rsidR="00FA683D" w14:paraId="660790D5" w14:textId="77777777" w:rsidTr="00FA683D">
        <w:tc>
          <w:tcPr>
            <w:tcW w:w="676" w:type="pct"/>
            <w:tcBorders>
              <w:top w:val="single" w:sz="4" w:space="0" w:color="C0C0C0"/>
              <w:left w:val="single" w:sz="4" w:space="0" w:color="C0C0C0"/>
              <w:bottom w:val="single" w:sz="4" w:space="0" w:color="C0C0C0"/>
              <w:right w:val="single" w:sz="4" w:space="0" w:color="C0C0C0"/>
            </w:tcBorders>
            <w:vAlign w:val="center"/>
            <w:hideMark/>
          </w:tcPr>
          <w:p w14:paraId="737B61D5" w14:textId="59E8853D" w:rsidR="00FA683D" w:rsidRDefault="00FA683D" w:rsidP="00FA683D">
            <w:pPr>
              <w:spacing w:before="120" w:after="120" w:line="240" w:lineRule="exact"/>
              <w:rPr>
                <w:sz w:val="22"/>
                <w:szCs w:val="22"/>
              </w:rPr>
            </w:pPr>
            <w:r w:rsidRPr="00A80E7B">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5F651C37" w14:textId="484C56CB" w:rsidR="00FA683D" w:rsidRDefault="00FA683D" w:rsidP="00FA683D">
            <w:pPr>
              <w:spacing w:before="120" w:after="120" w:line="240" w:lineRule="exact"/>
              <w:rPr>
                <w:sz w:val="22"/>
                <w:szCs w:val="22"/>
              </w:rPr>
            </w:pPr>
            <w: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44F8634A" w14:textId="33AA7739" w:rsidR="00FA683D" w:rsidRDefault="00FA683D" w:rsidP="00FA683D">
            <w:pPr>
              <w:spacing w:before="120" w:after="120" w:line="240" w:lineRule="exact"/>
              <w:rPr>
                <w:sz w:val="22"/>
                <w:szCs w:val="22"/>
              </w:rPr>
            </w:pPr>
            <w: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0805EAA6" w14:textId="2DAC9881" w:rsidR="00FA683D" w:rsidRDefault="00FA683D" w:rsidP="00FA683D">
            <w:pPr>
              <w:spacing w:before="120" w:after="120" w:line="240" w:lineRule="exact"/>
              <w:rPr>
                <w:sz w:val="22"/>
                <w:szCs w:val="22"/>
              </w:rPr>
            </w:pPr>
            <w:r>
              <w:t>First Issue</w:t>
            </w:r>
          </w:p>
        </w:tc>
      </w:tr>
    </w:tbl>
    <w:p w14:paraId="4B4C33DD" w14:textId="77777777" w:rsidR="00851017" w:rsidRDefault="00851017" w:rsidP="00851017">
      <w:pPr>
        <w:pStyle w:val="NoSpacing"/>
      </w:pPr>
    </w:p>
    <w:p w14:paraId="456E821F" w14:textId="77777777" w:rsidR="00851017" w:rsidRDefault="00851017" w:rsidP="00851017">
      <w:pPr>
        <w:pStyle w:val="NoSpacing"/>
      </w:pPr>
    </w:p>
    <w:p w14:paraId="3B82BB20" w14:textId="77777777" w:rsidR="00851017" w:rsidRDefault="00851017" w:rsidP="00851017">
      <w:pPr>
        <w:pStyle w:val="NoSpacing"/>
        <w:rPr>
          <w:rFonts w:ascii="Arial" w:hAnsi="Arial" w:cs="Arial"/>
          <w:b/>
          <w:sz w:val="32"/>
          <w:szCs w:val="32"/>
        </w:rPr>
      </w:pPr>
      <w:r>
        <w:rPr>
          <w:rFonts w:ascii="Arial" w:hAnsi="Arial" w:cs="Arial"/>
          <w:b/>
          <w:sz w:val="32"/>
          <w:szCs w:val="32"/>
        </w:rPr>
        <w:t>Approval</w:t>
      </w:r>
    </w:p>
    <w:p w14:paraId="215188A1" w14:textId="77777777" w:rsidR="00851017" w:rsidRDefault="00851017" w:rsidP="00851017">
      <w:pPr>
        <w:pStyle w:val="NoSpacing"/>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99"/>
        <w:gridCol w:w="3734"/>
        <w:gridCol w:w="3158"/>
      </w:tblGrid>
      <w:tr w:rsidR="00851017" w14:paraId="01C5788E" w14:textId="77777777" w:rsidTr="00851017">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4FF33F56" w14:textId="77777777" w:rsidR="00851017" w:rsidRDefault="00851017">
            <w:pPr>
              <w:spacing w:before="120" w:after="120" w:line="240" w:lineRule="exact"/>
              <w:rPr>
                <w:b/>
                <w:sz w:val="22"/>
                <w:szCs w:val="20"/>
              </w:rPr>
            </w:pPr>
            <w:r>
              <w:rPr>
                <w:b/>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41D19E95" w14:textId="77777777" w:rsidR="00851017" w:rsidRDefault="00851017">
            <w:pPr>
              <w:spacing w:before="120" w:after="120" w:line="240" w:lineRule="exact"/>
              <w:rPr>
                <w:b/>
                <w:sz w:val="22"/>
                <w:szCs w:val="20"/>
              </w:rPr>
            </w:pPr>
            <w:r>
              <w:rPr>
                <w:b/>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21BD99E4" w14:textId="77777777" w:rsidR="00851017" w:rsidRDefault="00851017">
            <w:pPr>
              <w:spacing w:before="120" w:after="120" w:line="240" w:lineRule="exact"/>
              <w:rPr>
                <w:b/>
                <w:sz w:val="22"/>
                <w:szCs w:val="20"/>
              </w:rPr>
            </w:pPr>
            <w:r>
              <w:rPr>
                <w:b/>
                <w:szCs w:val="20"/>
              </w:rPr>
              <w:t>Date</w:t>
            </w:r>
          </w:p>
        </w:tc>
      </w:tr>
      <w:bookmarkEnd w:id="1"/>
      <w:tr w:rsidR="00FA683D" w14:paraId="38192F81" w14:textId="77777777" w:rsidTr="00851017">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0FAE7FF5" w14:textId="70E9D73F" w:rsidR="00FA683D" w:rsidRDefault="00FA683D" w:rsidP="00FA683D">
            <w:pPr>
              <w:spacing w:before="120" w:after="120" w:line="240" w:lineRule="exact"/>
              <w:rPr>
                <w:sz w:val="22"/>
                <w:szCs w:val="20"/>
              </w:rPr>
            </w:pPr>
            <w:r w:rsidRPr="00D875FE">
              <w:rPr>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346F9F77" w14:textId="55F38E30" w:rsidR="00FA683D" w:rsidRDefault="00FA683D" w:rsidP="00FA683D">
            <w:pPr>
              <w:spacing w:before="60" w:line="276" w:lineRule="auto"/>
              <w:rPr>
                <w:rFonts w:cs="Tahoma"/>
              </w:rPr>
            </w:pPr>
            <w:r w:rsidRPr="00D875FE">
              <w:rPr>
                <w:rFonts w:cs="Tahoma"/>
                <w:color w:val="FF0000"/>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39457152" w14:textId="7BA29C7A" w:rsidR="00FA683D" w:rsidRDefault="00FA683D" w:rsidP="00FA683D">
            <w:pPr>
              <w:spacing w:before="120" w:after="120" w:line="240" w:lineRule="exact"/>
              <w:rPr>
                <w:rFonts w:eastAsiaTheme="minorHAnsi"/>
                <w:sz w:val="22"/>
                <w:szCs w:val="20"/>
              </w:rPr>
            </w:pPr>
            <w:r w:rsidRPr="00D875FE">
              <w:rPr>
                <w:color w:val="FF0000"/>
                <w:szCs w:val="20"/>
              </w:rPr>
              <w:t>July 2022</w:t>
            </w:r>
          </w:p>
        </w:tc>
      </w:tr>
      <w:bookmarkEnd w:id="0"/>
      <w:bookmarkEnd w:id="2"/>
    </w:tbl>
    <w:p w14:paraId="0FFDD0EE" w14:textId="77777777" w:rsidR="00F12F63" w:rsidRPr="00CF4BD3" w:rsidRDefault="00F12F63" w:rsidP="00F12F63"/>
    <w:p w14:paraId="1744E626" w14:textId="6DC277D6" w:rsidR="00FA683D" w:rsidRDefault="00FA683D">
      <w:pPr>
        <w:widowControl/>
        <w:autoSpaceDE/>
        <w:autoSpaceDN/>
        <w:adjustRightInd/>
      </w:pPr>
      <w:r>
        <w:br w:type="page"/>
      </w:r>
    </w:p>
    <w:sdt>
      <w:sdtPr>
        <w:rPr>
          <w:rFonts w:ascii="Arial" w:eastAsia="Times New Roman" w:hAnsi="Arial" w:cs="Arial"/>
          <w:color w:val="auto"/>
          <w:sz w:val="24"/>
          <w:szCs w:val="24"/>
          <w:lang w:val="en-GB" w:eastAsia="en-GB"/>
        </w:rPr>
        <w:id w:val="-47928546"/>
        <w:docPartObj>
          <w:docPartGallery w:val="Table of Contents"/>
          <w:docPartUnique/>
        </w:docPartObj>
      </w:sdtPr>
      <w:sdtEndPr>
        <w:rPr>
          <w:b/>
          <w:bCs/>
          <w:noProof/>
        </w:rPr>
      </w:sdtEndPr>
      <w:sdtContent>
        <w:p w14:paraId="084160DF" w14:textId="3A6D9183" w:rsidR="00FA683D" w:rsidRDefault="00FA683D" w:rsidP="00FA683D">
          <w:pPr>
            <w:pStyle w:val="TOCHeading"/>
            <w:jc w:val="center"/>
            <w:rPr>
              <w:rFonts w:ascii="Arial" w:hAnsi="Arial" w:cs="Arial"/>
              <w:b/>
              <w:bCs/>
              <w:color w:val="auto"/>
              <w:sz w:val="28"/>
              <w:szCs w:val="28"/>
            </w:rPr>
          </w:pPr>
          <w:r w:rsidRPr="00FA683D">
            <w:rPr>
              <w:rFonts w:ascii="Arial" w:hAnsi="Arial" w:cs="Arial"/>
              <w:b/>
              <w:bCs/>
              <w:color w:val="auto"/>
              <w:sz w:val="28"/>
              <w:szCs w:val="28"/>
            </w:rPr>
            <w:t>Contents</w:t>
          </w:r>
        </w:p>
        <w:p w14:paraId="18741852" w14:textId="77777777" w:rsidR="00FA683D" w:rsidRPr="00FA683D" w:rsidRDefault="00FA683D" w:rsidP="00FA683D">
          <w:pPr>
            <w:rPr>
              <w:lang w:val="en-US" w:eastAsia="en-US"/>
            </w:rPr>
          </w:pPr>
        </w:p>
        <w:p w14:paraId="718D2F8F" w14:textId="057B9D1D" w:rsidR="00FA683D" w:rsidRPr="00FA683D" w:rsidRDefault="00FA683D" w:rsidP="00FA683D">
          <w:pPr>
            <w:pStyle w:val="TOC1"/>
            <w:tabs>
              <w:tab w:val="left" w:pos="426"/>
              <w:tab w:val="right" w:leader="dot" w:pos="9865"/>
            </w:tabs>
            <w:spacing w:line="360" w:lineRule="auto"/>
            <w:rPr>
              <w:rFonts w:eastAsiaTheme="minorEastAsia"/>
              <w:noProof/>
            </w:rPr>
          </w:pPr>
          <w:r w:rsidRPr="00FA683D">
            <w:fldChar w:fldCharType="begin"/>
          </w:r>
          <w:r w:rsidRPr="00FA683D">
            <w:instrText xml:space="preserve"> TOC \o "1-3" \h \z \u </w:instrText>
          </w:r>
          <w:r w:rsidRPr="00FA683D">
            <w:fldChar w:fldCharType="separate"/>
          </w:r>
          <w:hyperlink w:anchor="_Toc106794688" w:history="1">
            <w:r w:rsidRPr="00FA683D">
              <w:rPr>
                <w:rStyle w:val="Hyperlink"/>
                <w:noProof/>
              </w:rPr>
              <w:t>1.</w:t>
            </w:r>
            <w:r w:rsidRPr="00FA683D">
              <w:rPr>
                <w:rFonts w:eastAsiaTheme="minorEastAsia"/>
                <w:noProof/>
              </w:rPr>
              <w:tab/>
            </w:r>
            <w:r w:rsidRPr="00FA683D">
              <w:rPr>
                <w:rStyle w:val="Hyperlink"/>
                <w:noProof/>
              </w:rPr>
              <w:t>POLICY STATEMENT</w:t>
            </w:r>
            <w:r w:rsidRPr="00FA683D">
              <w:rPr>
                <w:noProof/>
                <w:webHidden/>
              </w:rPr>
              <w:tab/>
            </w:r>
            <w:r w:rsidRPr="00FA683D">
              <w:rPr>
                <w:noProof/>
                <w:webHidden/>
              </w:rPr>
              <w:fldChar w:fldCharType="begin"/>
            </w:r>
            <w:r w:rsidRPr="00FA683D">
              <w:rPr>
                <w:noProof/>
                <w:webHidden/>
              </w:rPr>
              <w:instrText xml:space="preserve"> PAGEREF _Toc106794688 \h </w:instrText>
            </w:r>
            <w:r w:rsidRPr="00FA683D">
              <w:rPr>
                <w:noProof/>
                <w:webHidden/>
              </w:rPr>
            </w:r>
            <w:r w:rsidRPr="00FA683D">
              <w:rPr>
                <w:noProof/>
                <w:webHidden/>
              </w:rPr>
              <w:fldChar w:fldCharType="separate"/>
            </w:r>
            <w:r w:rsidRPr="00FA683D">
              <w:rPr>
                <w:noProof/>
                <w:webHidden/>
              </w:rPr>
              <w:t>4</w:t>
            </w:r>
            <w:r w:rsidRPr="00FA683D">
              <w:rPr>
                <w:noProof/>
                <w:webHidden/>
              </w:rPr>
              <w:fldChar w:fldCharType="end"/>
            </w:r>
          </w:hyperlink>
        </w:p>
        <w:p w14:paraId="50666654" w14:textId="1736C3FB" w:rsidR="00FA683D" w:rsidRPr="00FA683D" w:rsidRDefault="00D22C76" w:rsidP="00FA683D">
          <w:pPr>
            <w:pStyle w:val="TOC1"/>
            <w:tabs>
              <w:tab w:val="left" w:pos="426"/>
              <w:tab w:val="left" w:pos="660"/>
              <w:tab w:val="right" w:leader="dot" w:pos="9865"/>
            </w:tabs>
            <w:spacing w:line="360" w:lineRule="auto"/>
            <w:rPr>
              <w:rFonts w:eastAsiaTheme="minorEastAsia"/>
              <w:noProof/>
            </w:rPr>
          </w:pPr>
          <w:hyperlink w:anchor="_Toc106794689" w:history="1">
            <w:r w:rsidR="00FA683D" w:rsidRPr="00FA683D">
              <w:rPr>
                <w:rStyle w:val="Hyperlink"/>
                <w:noProof/>
              </w:rPr>
              <w:t xml:space="preserve">2. </w:t>
            </w:r>
            <w:r w:rsidR="00FA683D" w:rsidRPr="00FA683D">
              <w:rPr>
                <w:rFonts w:eastAsiaTheme="minorEastAsia"/>
                <w:noProof/>
              </w:rPr>
              <w:tab/>
            </w:r>
            <w:r w:rsidR="00FA683D" w:rsidRPr="00FA683D">
              <w:rPr>
                <w:rStyle w:val="Hyperlink"/>
                <w:noProof/>
              </w:rPr>
              <w:t>PRINCIPLES</w:t>
            </w:r>
            <w:r w:rsidR="00FA683D" w:rsidRPr="00FA683D">
              <w:rPr>
                <w:noProof/>
                <w:webHidden/>
              </w:rPr>
              <w:tab/>
            </w:r>
            <w:r w:rsidR="00FA683D" w:rsidRPr="00FA683D">
              <w:rPr>
                <w:noProof/>
                <w:webHidden/>
              </w:rPr>
              <w:fldChar w:fldCharType="begin"/>
            </w:r>
            <w:r w:rsidR="00FA683D" w:rsidRPr="00FA683D">
              <w:rPr>
                <w:noProof/>
                <w:webHidden/>
              </w:rPr>
              <w:instrText xml:space="preserve"> PAGEREF _Toc106794689 \h </w:instrText>
            </w:r>
            <w:r w:rsidR="00FA683D" w:rsidRPr="00FA683D">
              <w:rPr>
                <w:noProof/>
                <w:webHidden/>
              </w:rPr>
            </w:r>
            <w:r w:rsidR="00FA683D" w:rsidRPr="00FA683D">
              <w:rPr>
                <w:noProof/>
                <w:webHidden/>
              </w:rPr>
              <w:fldChar w:fldCharType="separate"/>
            </w:r>
            <w:r w:rsidR="00FA683D" w:rsidRPr="00FA683D">
              <w:rPr>
                <w:noProof/>
                <w:webHidden/>
              </w:rPr>
              <w:t>4</w:t>
            </w:r>
            <w:r w:rsidR="00FA683D" w:rsidRPr="00FA683D">
              <w:rPr>
                <w:noProof/>
                <w:webHidden/>
              </w:rPr>
              <w:fldChar w:fldCharType="end"/>
            </w:r>
          </w:hyperlink>
        </w:p>
        <w:p w14:paraId="03707538" w14:textId="01902C8F" w:rsidR="00FA683D" w:rsidRPr="00FA683D" w:rsidRDefault="00D22C76" w:rsidP="00FA683D">
          <w:pPr>
            <w:pStyle w:val="TOC1"/>
            <w:tabs>
              <w:tab w:val="left" w:pos="426"/>
              <w:tab w:val="left" w:pos="660"/>
              <w:tab w:val="right" w:leader="dot" w:pos="9865"/>
            </w:tabs>
            <w:spacing w:line="360" w:lineRule="auto"/>
            <w:rPr>
              <w:rFonts w:eastAsiaTheme="minorEastAsia"/>
              <w:noProof/>
            </w:rPr>
          </w:pPr>
          <w:hyperlink w:anchor="_Toc106794690" w:history="1">
            <w:r w:rsidR="00FA683D" w:rsidRPr="00FA683D">
              <w:rPr>
                <w:rStyle w:val="Hyperlink"/>
                <w:noProof/>
              </w:rPr>
              <w:t xml:space="preserve">3. </w:t>
            </w:r>
            <w:r w:rsidR="00FA683D" w:rsidRPr="00FA683D">
              <w:rPr>
                <w:rFonts w:eastAsiaTheme="minorEastAsia"/>
                <w:noProof/>
              </w:rPr>
              <w:tab/>
            </w:r>
            <w:r w:rsidR="00FA683D" w:rsidRPr="00FA683D">
              <w:rPr>
                <w:rStyle w:val="Hyperlink"/>
                <w:noProof/>
              </w:rPr>
              <w:t>EQUALITY STATEMENT</w:t>
            </w:r>
            <w:r w:rsidR="00FA683D" w:rsidRPr="00FA683D">
              <w:rPr>
                <w:noProof/>
                <w:webHidden/>
              </w:rPr>
              <w:tab/>
            </w:r>
            <w:r w:rsidR="00FA683D" w:rsidRPr="00FA683D">
              <w:rPr>
                <w:noProof/>
                <w:webHidden/>
              </w:rPr>
              <w:fldChar w:fldCharType="begin"/>
            </w:r>
            <w:r w:rsidR="00FA683D" w:rsidRPr="00FA683D">
              <w:rPr>
                <w:noProof/>
                <w:webHidden/>
              </w:rPr>
              <w:instrText xml:space="preserve"> PAGEREF _Toc106794690 \h </w:instrText>
            </w:r>
            <w:r w:rsidR="00FA683D" w:rsidRPr="00FA683D">
              <w:rPr>
                <w:noProof/>
                <w:webHidden/>
              </w:rPr>
            </w:r>
            <w:r w:rsidR="00FA683D" w:rsidRPr="00FA683D">
              <w:rPr>
                <w:noProof/>
                <w:webHidden/>
              </w:rPr>
              <w:fldChar w:fldCharType="separate"/>
            </w:r>
            <w:r w:rsidR="00FA683D" w:rsidRPr="00FA683D">
              <w:rPr>
                <w:noProof/>
                <w:webHidden/>
              </w:rPr>
              <w:t>5</w:t>
            </w:r>
            <w:r w:rsidR="00FA683D" w:rsidRPr="00FA683D">
              <w:rPr>
                <w:noProof/>
                <w:webHidden/>
              </w:rPr>
              <w:fldChar w:fldCharType="end"/>
            </w:r>
          </w:hyperlink>
        </w:p>
        <w:p w14:paraId="0C4D8A83" w14:textId="3F7B0CF5" w:rsidR="00FA683D" w:rsidRPr="00FA683D" w:rsidRDefault="00D22C76" w:rsidP="00FA683D">
          <w:pPr>
            <w:pStyle w:val="TOC1"/>
            <w:tabs>
              <w:tab w:val="left" w:pos="426"/>
              <w:tab w:val="right" w:leader="dot" w:pos="9865"/>
            </w:tabs>
            <w:spacing w:line="360" w:lineRule="auto"/>
            <w:rPr>
              <w:rFonts w:eastAsiaTheme="minorEastAsia"/>
              <w:noProof/>
            </w:rPr>
          </w:pPr>
          <w:hyperlink w:anchor="_Toc106794691" w:history="1">
            <w:r w:rsidR="00FA683D" w:rsidRPr="00FA683D">
              <w:rPr>
                <w:rStyle w:val="Hyperlink"/>
                <w:noProof/>
              </w:rPr>
              <w:t>4.</w:t>
            </w:r>
            <w:r w:rsidR="00FA683D" w:rsidRPr="00FA683D">
              <w:rPr>
                <w:rFonts w:eastAsiaTheme="minorEastAsia"/>
                <w:noProof/>
              </w:rPr>
              <w:tab/>
            </w:r>
            <w:r w:rsidR="00FA683D" w:rsidRPr="00FA683D">
              <w:rPr>
                <w:rStyle w:val="Hyperlink"/>
                <w:noProof/>
              </w:rPr>
              <w:t>DATA PROTECTION</w:t>
            </w:r>
            <w:r w:rsidR="00FA683D" w:rsidRPr="00FA683D">
              <w:rPr>
                <w:noProof/>
                <w:webHidden/>
              </w:rPr>
              <w:tab/>
            </w:r>
            <w:r w:rsidR="00FA683D" w:rsidRPr="00FA683D">
              <w:rPr>
                <w:noProof/>
                <w:webHidden/>
              </w:rPr>
              <w:fldChar w:fldCharType="begin"/>
            </w:r>
            <w:r w:rsidR="00FA683D" w:rsidRPr="00FA683D">
              <w:rPr>
                <w:noProof/>
                <w:webHidden/>
              </w:rPr>
              <w:instrText xml:space="preserve"> PAGEREF _Toc106794691 \h </w:instrText>
            </w:r>
            <w:r w:rsidR="00FA683D" w:rsidRPr="00FA683D">
              <w:rPr>
                <w:noProof/>
                <w:webHidden/>
              </w:rPr>
            </w:r>
            <w:r w:rsidR="00FA683D" w:rsidRPr="00FA683D">
              <w:rPr>
                <w:noProof/>
                <w:webHidden/>
              </w:rPr>
              <w:fldChar w:fldCharType="separate"/>
            </w:r>
            <w:r w:rsidR="00FA683D" w:rsidRPr="00FA683D">
              <w:rPr>
                <w:noProof/>
                <w:webHidden/>
              </w:rPr>
              <w:t>6</w:t>
            </w:r>
            <w:r w:rsidR="00FA683D" w:rsidRPr="00FA683D">
              <w:rPr>
                <w:noProof/>
                <w:webHidden/>
              </w:rPr>
              <w:fldChar w:fldCharType="end"/>
            </w:r>
          </w:hyperlink>
        </w:p>
        <w:p w14:paraId="15C77AAA" w14:textId="078CB3C2" w:rsidR="00FA683D" w:rsidRPr="00FA683D" w:rsidRDefault="00D22C76" w:rsidP="00FA683D">
          <w:pPr>
            <w:pStyle w:val="TOC1"/>
            <w:tabs>
              <w:tab w:val="left" w:pos="426"/>
              <w:tab w:val="left" w:pos="660"/>
              <w:tab w:val="right" w:leader="dot" w:pos="9865"/>
            </w:tabs>
            <w:spacing w:line="360" w:lineRule="auto"/>
            <w:rPr>
              <w:rFonts w:eastAsiaTheme="minorEastAsia"/>
              <w:noProof/>
            </w:rPr>
          </w:pPr>
          <w:hyperlink w:anchor="_Toc106794692" w:history="1">
            <w:r w:rsidR="00FA683D" w:rsidRPr="00FA683D">
              <w:rPr>
                <w:rStyle w:val="Hyperlink"/>
                <w:noProof/>
              </w:rPr>
              <w:t xml:space="preserve">5. </w:t>
            </w:r>
            <w:r w:rsidR="00FA683D" w:rsidRPr="00FA683D">
              <w:rPr>
                <w:rFonts w:eastAsiaTheme="minorEastAsia"/>
                <w:noProof/>
              </w:rPr>
              <w:tab/>
            </w:r>
            <w:r w:rsidR="00FA683D" w:rsidRPr="00FA683D">
              <w:rPr>
                <w:rStyle w:val="Hyperlink"/>
                <w:noProof/>
              </w:rPr>
              <w:t>MONITORING AND REVIEW</w:t>
            </w:r>
            <w:r w:rsidR="00FA683D" w:rsidRPr="00FA683D">
              <w:rPr>
                <w:noProof/>
                <w:webHidden/>
              </w:rPr>
              <w:tab/>
            </w:r>
            <w:r w:rsidR="00FA683D" w:rsidRPr="00FA683D">
              <w:rPr>
                <w:noProof/>
                <w:webHidden/>
              </w:rPr>
              <w:fldChar w:fldCharType="begin"/>
            </w:r>
            <w:r w:rsidR="00FA683D" w:rsidRPr="00FA683D">
              <w:rPr>
                <w:noProof/>
                <w:webHidden/>
              </w:rPr>
              <w:instrText xml:space="preserve"> PAGEREF _Toc106794692 \h </w:instrText>
            </w:r>
            <w:r w:rsidR="00FA683D" w:rsidRPr="00FA683D">
              <w:rPr>
                <w:noProof/>
                <w:webHidden/>
              </w:rPr>
            </w:r>
            <w:r w:rsidR="00FA683D" w:rsidRPr="00FA683D">
              <w:rPr>
                <w:noProof/>
                <w:webHidden/>
              </w:rPr>
              <w:fldChar w:fldCharType="separate"/>
            </w:r>
            <w:r w:rsidR="00FA683D" w:rsidRPr="00FA683D">
              <w:rPr>
                <w:noProof/>
                <w:webHidden/>
              </w:rPr>
              <w:t>6</w:t>
            </w:r>
            <w:r w:rsidR="00FA683D" w:rsidRPr="00FA683D">
              <w:rPr>
                <w:noProof/>
                <w:webHidden/>
              </w:rPr>
              <w:fldChar w:fldCharType="end"/>
            </w:r>
          </w:hyperlink>
        </w:p>
        <w:p w14:paraId="20B992A4" w14:textId="58AE12C7" w:rsidR="00FA683D" w:rsidRPr="00FA683D" w:rsidRDefault="00D22C76" w:rsidP="00FA683D">
          <w:pPr>
            <w:pStyle w:val="TOC1"/>
            <w:tabs>
              <w:tab w:val="left" w:pos="426"/>
              <w:tab w:val="right" w:leader="dot" w:pos="9865"/>
            </w:tabs>
            <w:spacing w:line="360" w:lineRule="auto"/>
            <w:rPr>
              <w:rFonts w:eastAsiaTheme="minorEastAsia"/>
              <w:noProof/>
            </w:rPr>
          </w:pPr>
          <w:hyperlink w:anchor="_Toc106794693" w:history="1">
            <w:r w:rsidR="00FA683D" w:rsidRPr="00FA683D">
              <w:rPr>
                <w:rStyle w:val="Hyperlink"/>
                <w:noProof/>
                <w:lang w:val="en-US" w:eastAsia="en-US"/>
              </w:rPr>
              <w:t>Appendix 1 Equality Impact Assessment</w:t>
            </w:r>
            <w:r w:rsidR="00FA683D" w:rsidRPr="00FA683D">
              <w:rPr>
                <w:noProof/>
                <w:webHidden/>
              </w:rPr>
              <w:tab/>
            </w:r>
            <w:r w:rsidR="00FA683D" w:rsidRPr="00FA683D">
              <w:rPr>
                <w:noProof/>
                <w:webHidden/>
              </w:rPr>
              <w:fldChar w:fldCharType="begin"/>
            </w:r>
            <w:r w:rsidR="00FA683D" w:rsidRPr="00FA683D">
              <w:rPr>
                <w:noProof/>
                <w:webHidden/>
              </w:rPr>
              <w:instrText xml:space="preserve"> PAGEREF _Toc106794693 \h </w:instrText>
            </w:r>
            <w:r w:rsidR="00FA683D" w:rsidRPr="00FA683D">
              <w:rPr>
                <w:noProof/>
                <w:webHidden/>
              </w:rPr>
            </w:r>
            <w:r w:rsidR="00FA683D" w:rsidRPr="00FA683D">
              <w:rPr>
                <w:noProof/>
                <w:webHidden/>
              </w:rPr>
              <w:fldChar w:fldCharType="separate"/>
            </w:r>
            <w:r w:rsidR="00FA683D" w:rsidRPr="00FA683D">
              <w:rPr>
                <w:noProof/>
                <w:webHidden/>
              </w:rPr>
              <w:t>7</w:t>
            </w:r>
            <w:r w:rsidR="00FA683D" w:rsidRPr="00FA683D">
              <w:rPr>
                <w:noProof/>
                <w:webHidden/>
              </w:rPr>
              <w:fldChar w:fldCharType="end"/>
            </w:r>
          </w:hyperlink>
        </w:p>
        <w:p w14:paraId="4F2E0C6C" w14:textId="0A3B70FA" w:rsidR="00FA683D" w:rsidRDefault="00FA683D" w:rsidP="00FA683D">
          <w:pPr>
            <w:tabs>
              <w:tab w:val="left" w:pos="426"/>
            </w:tabs>
            <w:spacing w:line="360" w:lineRule="auto"/>
          </w:pPr>
          <w:r w:rsidRPr="00FA683D">
            <w:rPr>
              <w:noProof/>
            </w:rPr>
            <w:fldChar w:fldCharType="end"/>
          </w:r>
        </w:p>
      </w:sdtContent>
    </w:sdt>
    <w:p w14:paraId="38FE29A0" w14:textId="49BB44B3" w:rsidR="00FD2CAC" w:rsidRPr="00FA683D" w:rsidRDefault="00FD2CAC" w:rsidP="00FA683D">
      <w:pPr>
        <w:pStyle w:val="Default"/>
        <w:rPr>
          <w:b/>
          <w:color w:val="auto"/>
        </w:rPr>
      </w:pPr>
    </w:p>
    <w:p w14:paraId="098FC196" w14:textId="77777777" w:rsidR="00FD2CAC" w:rsidRPr="00CF4BD3" w:rsidRDefault="003D2DF6" w:rsidP="00FD2CAC">
      <w:pPr>
        <w:pStyle w:val="Default"/>
        <w:jc w:val="both"/>
        <w:rPr>
          <w:b/>
          <w:color w:val="auto"/>
        </w:rPr>
      </w:pPr>
      <w:r w:rsidRPr="00CF4BD3">
        <w:rPr>
          <w:b/>
        </w:rPr>
        <w:br w:type="page"/>
      </w:r>
      <w:r w:rsidR="00FD2CAC" w:rsidRPr="00CF4BD3">
        <w:rPr>
          <w:b/>
          <w:color w:val="auto"/>
        </w:rPr>
        <w:lastRenderedPageBreak/>
        <w:t xml:space="preserve"> </w:t>
      </w:r>
    </w:p>
    <w:p w14:paraId="6B023E87" w14:textId="77777777" w:rsidR="00FD2CAC" w:rsidRPr="00FA683D" w:rsidRDefault="00FD2CAC" w:rsidP="00FD2CAC">
      <w:pPr>
        <w:pStyle w:val="Default"/>
        <w:jc w:val="both"/>
        <w:rPr>
          <w:color w:val="auto"/>
        </w:rPr>
      </w:pPr>
    </w:p>
    <w:p w14:paraId="5025B33C" w14:textId="77777777" w:rsidR="00FD2CAC" w:rsidRPr="00FA683D" w:rsidRDefault="00FD2CAC" w:rsidP="00FA683D">
      <w:pPr>
        <w:pStyle w:val="Default"/>
        <w:numPr>
          <w:ilvl w:val="0"/>
          <w:numId w:val="10"/>
        </w:numPr>
        <w:ind w:hanging="720"/>
        <w:jc w:val="both"/>
        <w:outlineLvl w:val="0"/>
        <w:rPr>
          <w:b/>
          <w:bCs/>
          <w:sz w:val="28"/>
          <w:szCs w:val="28"/>
        </w:rPr>
      </w:pPr>
      <w:bookmarkStart w:id="3" w:name="_Toc106794688"/>
      <w:r w:rsidRPr="00FA683D">
        <w:rPr>
          <w:b/>
          <w:bCs/>
          <w:sz w:val="28"/>
          <w:szCs w:val="28"/>
        </w:rPr>
        <w:t>POLICY STATEMENT</w:t>
      </w:r>
      <w:bookmarkEnd w:id="3"/>
    </w:p>
    <w:p w14:paraId="5159D7BE" w14:textId="33DD3FC8" w:rsidR="00FD2CAC" w:rsidRPr="00FA683D" w:rsidRDefault="00FD2CAC" w:rsidP="00FD2CAC">
      <w:pPr>
        <w:pStyle w:val="body"/>
        <w:ind w:left="720" w:hanging="720"/>
        <w:jc w:val="both"/>
        <w:rPr>
          <w:rFonts w:ascii="Arial" w:hAnsi="Arial" w:cs="Arial"/>
        </w:rPr>
      </w:pPr>
      <w:r w:rsidRPr="00FA683D">
        <w:rPr>
          <w:rFonts w:ascii="Arial" w:hAnsi="Arial" w:cs="Arial"/>
          <w:color w:val="000000"/>
        </w:rPr>
        <w:t xml:space="preserve">1.1 </w:t>
      </w:r>
      <w:r w:rsidRPr="00FA683D">
        <w:rPr>
          <w:rFonts w:ascii="Arial" w:hAnsi="Arial" w:cs="Arial"/>
          <w:color w:val="000000"/>
        </w:rPr>
        <w:tab/>
        <w:t xml:space="preserve">The </w:t>
      </w:r>
      <w:bookmarkStart w:id="4" w:name="_Hlk98157923"/>
      <w:r w:rsidR="005C1A9A" w:rsidRPr="00FA683D">
        <w:rPr>
          <w:rFonts w:ascii="Arial" w:hAnsi="Arial" w:cs="Arial"/>
        </w:rPr>
        <w:t>North East and North Cumbria Integrated Care Board</w:t>
      </w:r>
      <w:bookmarkEnd w:id="4"/>
      <w:r w:rsidR="005C1A9A" w:rsidRPr="00FA683D">
        <w:rPr>
          <w:rFonts w:ascii="Arial" w:hAnsi="Arial" w:cs="Arial"/>
        </w:rPr>
        <w:t xml:space="preserve"> (the </w:t>
      </w:r>
      <w:proofErr w:type="gramStart"/>
      <w:r w:rsidR="005C1A9A" w:rsidRPr="00FA683D">
        <w:rPr>
          <w:rFonts w:ascii="Arial" w:hAnsi="Arial" w:cs="Arial"/>
        </w:rPr>
        <w:t>Organisation)</w:t>
      </w:r>
      <w:r w:rsidRPr="00FA683D">
        <w:rPr>
          <w:rFonts w:ascii="Arial" w:hAnsi="Arial" w:cs="Arial"/>
          <w:color w:val="000000"/>
        </w:rPr>
        <w:t>is</w:t>
      </w:r>
      <w:proofErr w:type="gramEnd"/>
      <w:r w:rsidRPr="00FA683D">
        <w:rPr>
          <w:rFonts w:ascii="Arial" w:hAnsi="Arial" w:cs="Arial"/>
          <w:color w:val="000000"/>
        </w:rPr>
        <w:t xml:space="preserve"> committed to the health and safety of its employees and acknowledges its obligations within Working Time Regulations. </w:t>
      </w:r>
      <w:r w:rsidRPr="00FA683D">
        <w:rPr>
          <w:rFonts w:ascii="Arial" w:hAnsi="Arial" w:cs="Arial"/>
        </w:rPr>
        <w:t>The organisation strives to provide a safe working environment and ensure the safety and wellbeing of all its workers. The organisation seeks to ensure that workers do not exceed reasonable working hours to provide for a satisfactory balance between work and personal life. The organisation is also committed to ensuring that workers’ health is not compromised by the workplace.</w:t>
      </w:r>
    </w:p>
    <w:p w14:paraId="7EB670C8" w14:textId="77777777" w:rsidR="00FD2CAC" w:rsidRPr="00FA683D" w:rsidRDefault="003D2DF6" w:rsidP="00FD2CAC">
      <w:pPr>
        <w:pStyle w:val="body"/>
        <w:ind w:left="720" w:hanging="720"/>
        <w:jc w:val="both"/>
        <w:rPr>
          <w:rFonts w:ascii="Arial" w:hAnsi="Arial" w:cs="Arial"/>
        </w:rPr>
      </w:pPr>
      <w:r w:rsidRPr="00FA683D">
        <w:rPr>
          <w:rFonts w:ascii="Arial" w:hAnsi="Arial" w:cs="Arial"/>
        </w:rPr>
        <w:t xml:space="preserve">1.2 </w:t>
      </w:r>
      <w:r w:rsidRPr="00FA683D">
        <w:rPr>
          <w:rFonts w:ascii="Arial" w:hAnsi="Arial" w:cs="Arial"/>
        </w:rPr>
        <w:tab/>
      </w:r>
      <w:r w:rsidR="00465923" w:rsidRPr="00FA683D">
        <w:rPr>
          <w:rFonts w:ascii="Arial" w:hAnsi="Arial" w:cs="Arial"/>
        </w:rPr>
        <w:t>M</w:t>
      </w:r>
      <w:r w:rsidR="00FD2CAC" w:rsidRPr="00FA683D">
        <w:rPr>
          <w:rFonts w:ascii="Arial" w:hAnsi="Arial" w:cs="Arial"/>
        </w:rPr>
        <w:t>anagers have a responsibility to ensure that working hours are kept within reasonable limits and will monitor working hours for this purpose. Workers themselves also have a duty to ensure that they are not working excessive hours and inform their manager directly if they consider that they may be doing so.</w:t>
      </w:r>
    </w:p>
    <w:p w14:paraId="3811A3EA" w14:textId="77777777" w:rsidR="00FD2CAC" w:rsidRPr="00FA683D" w:rsidRDefault="00FD2CAC" w:rsidP="00FD2CAC">
      <w:pPr>
        <w:ind w:left="720" w:hanging="720"/>
        <w:jc w:val="both"/>
        <w:rPr>
          <w:color w:val="000000"/>
        </w:rPr>
      </w:pPr>
      <w:r w:rsidRPr="00FA683D">
        <w:rPr>
          <w:color w:val="000000"/>
        </w:rPr>
        <w:t xml:space="preserve">1.3 </w:t>
      </w:r>
      <w:r w:rsidRPr="00FA683D">
        <w:rPr>
          <w:color w:val="000000"/>
        </w:rPr>
        <w:tab/>
        <w:t xml:space="preserve">The European Working Time Regulations set down entitlements of employees to maximum working hours, rest periods, rest breaks whilst at work, annual leave and working arrangements for night workers.  </w:t>
      </w:r>
      <w:r w:rsidR="00F16E88" w:rsidRPr="00FA683D">
        <w:rPr>
          <w:color w:val="000000"/>
        </w:rPr>
        <w:t>The European Working Time Regulations ceased to apply on 31</w:t>
      </w:r>
      <w:r w:rsidR="00F16E88" w:rsidRPr="00FA683D">
        <w:rPr>
          <w:color w:val="000000"/>
          <w:vertAlign w:val="superscript"/>
        </w:rPr>
        <w:t>st</w:t>
      </w:r>
      <w:r w:rsidR="00F16E88" w:rsidRPr="00FA683D">
        <w:rPr>
          <w:color w:val="000000"/>
        </w:rPr>
        <w:t xml:space="preserve"> December 2020.  The UKs Working Time regulations will continue to apply unless changed by UK law.  </w:t>
      </w:r>
    </w:p>
    <w:p w14:paraId="17CA1A35" w14:textId="77777777" w:rsidR="00FD2CAC" w:rsidRPr="00FA683D" w:rsidRDefault="00FD2CAC" w:rsidP="00FD2CAC">
      <w:pPr>
        <w:pStyle w:val="Default"/>
        <w:jc w:val="both"/>
      </w:pPr>
    </w:p>
    <w:p w14:paraId="3F5C20B2" w14:textId="77777777" w:rsidR="00FD2CAC" w:rsidRPr="00FA683D" w:rsidRDefault="00FD2CAC" w:rsidP="00FA683D">
      <w:pPr>
        <w:pStyle w:val="Default"/>
        <w:ind w:left="720" w:hanging="720"/>
        <w:jc w:val="both"/>
        <w:outlineLvl w:val="0"/>
        <w:rPr>
          <w:b/>
          <w:bCs/>
          <w:color w:val="auto"/>
          <w:sz w:val="28"/>
          <w:szCs w:val="28"/>
        </w:rPr>
      </w:pPr>
      <w:bookmarkStart w:id="5" w:name="_Toc106794689"/>
      <w:r w:rsidRPr="00FA683D">
        <w:rPr>
          <w:b/>
          <w:bCs/>
          <w:color w:val="auto"/>
          <w:sz w:val="28"/>
          <w:szCs w:val="28"/>
        </w:rPr>
        <w:t xml:space="preserve">2. </w:t>
      </w:r>
      <w:r w:rsidRPr="00FA683D">
        <w:rPr>
          <w:b/>
          <w:bCs/>
          <w:color w:val="auto"/>
          <w:sz w:val="28"/>
          <w:szCs w:val="28"/>
        </w:rPr>
        <w:tab/>
        <w:t>PRINCIPLES</w:t>
      </w:r>
      <w:bookmarkEnd w:id="5"/>
      <w:r w:rsidRPr="00FA683D">
        <w:rPr>
          <w:b/>
          <w:bCs/>
          <w:color w:val="auto"/>
          <w:sz w:val="28"/>
          <w:szCs w:val="28"/>
        </w:rPr>
        <w:t xml:space="preserve"> </w:t>
      </w:r>
    </w:p>
    <w:p w14:paraId="4C5F2468" w14:textId="77777777" w:rsidR="00FD2CAC" w:rsidRPr="00FA683D" w:rsidRDefault="00FD2CAC" w:rsidP="00FD2CAC">
      <w:pPr>
        <w:pStyle w:val="Default"/>
        <w:ind w:left="720" w:hanging="720"/>
        <w:jc w:val="both"/>
        <w:rPr>
          <w:b/>
          <w:bCs/>
          <w:color w:val="auto"/>
        </w:rPr>
      </w:pPr>
    </w:p>
    <w:p w14:paraId="79047827" w14:textId="600D2906" w:rsidR="00FD2CAC" w:rsidRPr="00FA683D" w:rsidRDefault="00FD2CAC" w:rsidP="00FD2CAC">
      <w:pPr>
        <w:ind w:left="720" w:hanging="720"/>
        <w:jc w:val="both"/>
        <w:rPr>
          <w:color w:val="000000"/>
        </w:rPr>
      </w:pPr>
      <w:r w:rsidRPr="00FA683D">
        <w:rPr>
          <w:bCs/>
        </w:rPr>
        <w:t>2.1</w:t>
      </w:r>
      <w:r w:rsidRPr="00FA683D">
        <w:rPr>
          <w:color w:val="000000"/>
        </w:rPr>
        <w:t xml:space="preserve"> </w:t>
      </w:r>
      <w:r w:rsidRPr="00FA683D">
        <w:rPr>
          <w:color w:val="000000"/>
        </w:rPr>
        <w:tab/>
        <w:t>T</w:t>
      </w:r>
      <w:r w:rsidR="003D2DF6" w:rsidRPr="00FA683D">
        <w:rPr>
          <w:color w:val="000000"/>
        </w:rPr>
        <w:t xml:space="preserve">his policy applies to all </w:t>
      </w:r>
      <w:r w:rsidR="005C1A9A" w:rsidRPr="00FA683D">
        <w:rPr>
          <w:color w:val="000000"/>
        </w:rPr>
        <w:t xml:space="preserve">the Organisation's </w:t>
      </w:r>
      <w:r w:rsidRPr="00FA683D">
        <w:rPr>
          <w:color w:val="000000"/>
        </w:rPr>
        <w:t>employees and any agency or contract staff whilst</w:t>
      </w:r>
      <w:r w:rsidR="003D2DF6" w:rsidRPr="00FA683D">
        <w:rPr>
          <w:color w:val="000000"/>
        </w:rPr>
        <w:t xml:space="preserve"> they are working for the </w:t>
      </w:r>
      <w:r w:rsidR="005C1A9A" w:rsidRPr="00FA683D">
        <w:rPr>
          <w:color w:val="000000"/>
        </w:rPr>
        <w:t>Organisation</w:t>
      </w:r>
      <w:r w:rsidRPr="00FA683D">
        <w:rPr>
          <w:color w:val="000000"/>
        </w:rPr>
        <w:t xml:space="preserve">. </w:t>
      </w:r>
    </w:p>
    <w:p w14:paraId="3B827039" w14:textId="77777777" w:rsidR="00FD2CAC" w:rsidRPr="00FA683D" w:rsidRDefault="00FD2CAC" w:rsidP="00FD2CAC">
      <w:pPr>
        <w:jc w:val="both"/>
        <w:rPr>
          <w:color w:val="000000"/>
        </w:rPr>
      </w:pPr>
    </w:p>
    <w:p w14:paraId="1617FE85" w14:textId="73EBBE44" w:rsidR="00FD2CAC" w:rsidRPr="00FA683D" w:rsidRDefault="00FD2CAC" w:rsidP="00FD2CAC">
      <w:pPr>
        <w:pStyle w:val="Default"/>
        <w:ind w:left="720" w:hanging="720"/>
        <w:jc w:val="both"/>
        <w:rPr>
          <w:bCs/>
          <w:color w:val="auto"/>
        </w:rPr>
      </w:pPr>
      <w:r w:rsidRPr="00FA683D">
        <w:rPr>
          <w:bCs/>
          <w:color w:val="auto"/>
        </w:rPr>
        <w:t>2.2</w:t>
      </w:r>
      <w:r w:rsidRPr="00FA683D">
        <w:rPr>
          <w:bCs/>
          <w:color w:val="auto"/>
        </w:rPr>
        <w:tab/>
        <w:t xml:space="preserve">Unless they consent, a worker should not </w:t>
      </w:r>
      <w:r w:rsidR="003D2DF6" w:rsidRPr="00FA683D">
        <w:rPr>
          <w:bCs/>
          <w:color w:val="auto"/>
        </w:rPr>
        <w:t xml:space="preserve">work </w:t>
      </w:r>
      <w:r w:rsidRPr="00FA683D">
        <w:rPr>
          <w:bCs/>
          <w:color w:val="auto"/>
        </w:rPr>
        <w:t xml:space="preserve">in excess of 48 hours per week </w:t>
      </w:r>
      <w:r w:rsidR="003D2DF6" w:rsidRPr="00FA683D">
        <w:rPr>
          <w:bCs/>
          <w:color w:val="auto"/>
        </w:rPr>
        <w:t xml:space="preserve">on </w:t>
      </w:r>
      <w:r w:rsidRPr="00FA683D">
        <w:rPr>
          <w:bCs/>
          <w:color w:val="auto"/>
        </w:rPr>
        <w:t>average</w:t>
      </w:r>
      <w:r w:rsidR="00F16E88" w:rsidRPr="00FA683D">
        <w:rPr>
          <w:bCs/>
          <w:color w:val="auto"/>
        </w:rPr>
        <w:t xml:space="preserve"> over a </w:t>
      </w:r>
      <w:proofErr w:type="gramStart"/>
      <w:r w:rsidR="00F16E88" w:rsidRPr="00FA683D">
        <w:rPr>
          <w:bCs/>
          <w:color w:val="auto"/>
        </w:rPr>
        <w:t>17 week</w:t>
      </w:r>
      <w:proofErr w:type="gramEnd"/>
      <w:r w:rsidR="00F16E88" w:rsidRPr="00FA683D">
        <w:rPr>
          <w:bCs/>
          <w:color w:val="auto"/>
        </w:rPr>
        <w:t xml:space="preserve"> reference period</w:t>
      </w:r>
      <w:r w:rsidRPr="00FA683D">
        <w:rPr>
          <w:bCs/>
          <w:color w:val="auto"/>
        </w:rPr>
        <w:t xml:space="preserve">. The organisation will take all reasonable steps to comply with this limit. Should the employee wish to opt out they should complete </w:t>
      </w:r>
      <w:r w:rsidR="005C1A9A" w:rsidRPr="00FA683D">
        <w:rPr>
          <w:bCs/>
          <w:color w:val="auto"/>
        </w:rPr>
        <w:t>the form within the Resource Pack</w:t>
      </w:r>
      <w:r w:rsidRPr="00FA683D">
        <w:rPr>
          <w:bCs/>
          <w:color w:val="auto"/>
        </w:rPr>
        <w:t xml:space="preserve"> and return it to their Line manager.</w:t>
      </w:r>
    </w:p>
    <w:p w14:paraId="318BF68E" w14:textId="77777777" w:rsidR="00FD2CAC" w:rsidRPr="00FA683D" w:rsidRDefault="00FD2CAC" w:rsidP="00FD2CAC">
      <w:pPr>
        <w:pStyle w:val="Default"/>
        <w:ind w:left="720" w:hanging="720"/>
        <w:jc w:val="both"/>
        <w:rPr>
          <w:bCs/>
          <w:color w:val="auto"/>
        </w:rPr>
      </w:pPr>
    </w:p>
    <w:p w14:paraId="617E6EF0" w14:textId="77777777" w:rsidR="00FD2CAC" w:rsidRPr="00FA683D" w:rsidRDefault="00FD2CAC" w:rsidP="00FD2CAC">
      <w:pPr>
        <w:pStyle w:val="Default"/>
        <w:ind w:left="720" w:hanging="720"/>
        <w:jc w:val="both"/>
        <w:rPr>
          <w:bCs/>
          <w:color w:val="auto"/>
        </w:rPr>
      </w:pPr>
      <w:r w:rsidRPr="00FA683D">
        <w:rPr>
          <w:bCs/>
          <w:color w:val="auto"/>
        </w:rPr>
        <w:t xml:space="preserve">2.3. </w:t>
      </w:r>
      <w:r w:rsidRPr="00FA683D">
        <w:rPr>
          <w:bCs/>
          <w:color w:val="auto"/>
        </w:rPr>
        <w:tab/>
        <w:t>Employees working for more than one employer or who a</w:t>
      </w:r>
      <w:r w:rsidR="003D2DF6" w:rsidRPr="00FA683D">
        <w:rPr>
          <w:bCs/>
          <w:color w:val="auto"/>
        </w:rPr>
        <w:t xml:space="preserve">lso undertake work through self-employment </w:t>
      </w:r>
      <w:r w:rsidRPr="00FA683D">
        <w:rPr>
          <w:bCs/>
          <w:color w:val="auto"/>
        </w:rPr>
        <w:t>should still not e</w:t>
      </w:r>
      <w:r w:rsidR="003D2DF6" w:rsidRPr="00FA683D">
        <w:rPr>
          <w:bCs/>
          <w:color w:val="auto"/>
        </w:rPr>
        <w:t xml:space="preserve">xceed the </w:t>
      </w:r>
      <w:proofErr w:type="gramStart"/>
      <w:r w:rsidR="003D2DF6" w:rsidRPr="00FA683D">
        <w:rPr>
          <w:bCs/>
          <w:color w:val="auto"/>
        </w:rPr>
        <w:t>48</w:t>
      </w:r>
      <w:r w:rsidRPr="00FA683D">
        <w:rPr>
          <w:bCs/>
          <w:color w:val="auto"/>
        </w:rPr>
        <w:t xml:space="preserve"> hour</w:t>
      </w:r>
      <w:proofErr w:type="gramEnd"/>
      <w:r w:rsidRPr="00FA683D">
        <w:rPr>
          <w:bCs/>
          <w:color w:val="auto"/>
        </w:rPr>
        <w:t xml:space="preserve"> limit with regards to their total average weekly working time. Secondary employment includes working on the bank or through an agency.</w:t>
      </w:r>
    </w:p>
    <w:p w14:paraId="4A72E6B9" w14:textId="77777777" w:rsidR="00FD2CAC" w:rsidRPr="00FA683D" w:rsidRDefault="00FD2CAC" w:rsidP="00FD2CAC">
      <w:pPr>
        <w:pStyle w:val="Default"/>
        <w:ind w:left="720" w:hanging="720"/>
        <w:jc w:val="both"/>
        <w:rPr>
          <w:bCs/>
          <w:color w:val="auto"/>
        </w:rPr>
      </w:pPr>
    </w:p>
    <w:p w14:paraId="350A1283" w14:textId="77777777" w:rsidR="00FD2CAC" w:rsidRPr="00FA683D" w:rsidRDefault="00FD2CAC" w:rsidP="00FD2CAC">
      <w:pPr>
        <w:pStyle w:val="Default"/>
        <w:ind w:left="720" w:hanging="720"/>
        <w:jc w:val="both"/>
        <w:rPr>
          <w:bCs/>
          <w:color w:val="auto"/>
        </w:rPr>
      </w:pPr>
      <w:r w:rsidRPr="00FA683D">
        <w:rPr>
          <w:bCs/>
          <w:color w:val="auto"/>
        </w:rPr>
        <w:t>2.4</w:t>
      </w:r>
      <w:r w:rsidRPr="00FA683D">
        <w:rPr>
          <w:bCs/>
          <w:color w:val="auto"/>
        </w:rPr>
        <w:tab/>
        <w:t xml:space="preserve">Night workers should not exceed an average of 8 hours work in every </w:t>
      </w:r>
      <w:proofErr w:type="gramStart"/>
      <w:r w:rsidRPr="00FA683D">
        <w:rPr>
          <w:bCs/>
          <w:color w:val="auto"/>
        </w:rPr>
        <w:t>24 hour</w:t>
      </w:r>
      <w:proofErr w:type="gramEnd"/>
      <w:r w:rsidRPr="00FA683D">
        <w:rPr>
          <w:bCs/>
          <w:color w:val="auto"/>
        </w:rPr>
        <w:t xml:space="preserve"> period.</w:t>
      </w:r>
      <w:r w:rsidR="003D2DF6" w:rsidRPr="00FA683D">
        <w:rPr>
          <w:bCs/>
          <w:color w:val="auto"/>
        </w:rPr>
        <w:t xml:space="preserve">  </w:t>
      </w:r>
      <w:r w:rsidRPr="00FA683D">
        <w:rPr>
          <w:bCs/>
          <w:color w:val="auto"/>
        </w:rPr>
        <w:t>A night worker is defined as someone who normally works at least 3 hours between 11.00pm – 6.00am</w:t>
      </w:r>
    </w:p>
    <w:p w14:paraId="5E74F41E" w14:textId="77777777" w:rsidR="00FD2CAC" w:rsidRPr="00FA683D" w:rsidRDefault="00FD2CAC" w:rsidP="00FD2CAC">
      <w:pPr>
        <w:pStyle w:val="Default"/>
        <w:ind w:left="720" w:hanging="720"/>
        <w:jc w:val="both"/>
        <w:rPr>
          <w:bCs/>
          <w:color w:val="auto"/>
        </w:rPr>
      </w:pPr>
    </w:p>
    <w:p w14:paraId="47C61C82" w14:textId="77777777" w:rsidR="00FD2CAC" w:rsidRPr="00FA683D" w:rsidRDefault="00FD2CAC" w:rsidP="00FD2CAC">
      <w:pPr>
        <w:pStyle w:val="Default"/>
        <w:ind w:left="720" w:hanging="720"/>
        <w:jc w:val="both"/>
        <w:rPr>
          <w:bCs/>
          <w:color w:val="auto"/>
        </w:rPr>
      </w:pPr>
      <w:r w:rsidRPr="00FA683D">
        <w:rPr>
          <w:bCs/>
          <w:color w:val="auto"/>
        </w:rPr>
        <w:t>2.5</w:t>
      </w:r>
      <w:r w:rsidRPr="00FA683D">
        <w:rPr>
          <w:bCs/>
          <w:color w:val="auto"/>
        </w:rPr>
        <w:tab/>
        <w:t xml:space="preserve"> The employee is entitled to the following rest periods and breaks: </w:t>
      </w:r>
    </w:p>
    <w:p w14:paraId="16407980" w14:textId="77777777" w:rsidR="00FD2CAC" w:rsidRPr="00FA683D" w:rsidRDefault="00FD2CAC" w:rsidP="00FD2CAC">
      <w:pPr>
        <w:pStyle w:val="Default"/>
        <w:ind w:left="720" w:hanging="720"/>
        <w:jc w:val="both"/>
        <w:rPr>
          <w:bCs/>
          <w:color w:val="auto"/>
        </w:rPr>
      </w:pPr>
    </w:p>
    <w:p w14:paraId="4281E7E9" w14:textId="77777777" w:rsidR="00FD2CAC" w:rsidRPr="00FA683D" w:rsidRDefault="00FD2CAC" w:rsidP="00FD2CAC">
      <w:pPr>
        <w:pStyle w:val="Default"/>
        <w:numPr>
          <w:ilvl w:val="0"/>
          <w:numId w:val="11"/>
        </w:numPr>
        <w:jc w:val="both"/>
        <w:rPr>
          <w:bCs/>
          <w:color w:val="auto"/>
        </w:rPr>
      </w:pPr>
      <w:r w:rsidRPr="00FA683D">
        <w:rPr>
          <w:bCs/>
          <w:color w:val="auto"/>
        </w:rPr>
        <w:t xml:space="preserve">Rest period of 11 consecutive hours in each </w:t>
      </w:r>
      <w:proofErr w:type="gramStart"/>
      <w:r w:rsidRPr="00FA683D">
        <w:rPr>
          <w:bCs/>
          <w:color w:val="auto"/>
        </w:rPr>
        <w:t>24 hour</w:t>
      </w:r>
      <w:proofErr w:type="gramEnd"/>
      <w:r w:rsidRPr="00FA683D">
        <w:rPr>
          <w:bCs/>
          <w:color w:val="auto"/>
        </w:rPr>
        <w:t xml:space="preserve"> period.</w:t>
      </w:r>
    </w:p>
    <w:p w14:paraId="0CAAA945" w14:textId="77777777" w:rsidR="00FD2CAC" w:rsidRPr="00FA683D" w:rsidRDefault="00FD2CAC" w:rsidP="00FD2CAC">
      <w:pPr>
        <w:pStyle w:val="Default"/>
        <w:ind w:left="720" w:hanging="720"/>
        <w:jc w:val="both"/>
        <w:rPr>
          <w:bCs/>
          <w:color w:val="auto"/>
        </w:rPr>
      </w:pPr>
    </w:p>
    <w:p w14:paraId="0A2C6475" w14:textId="351A3407" w:rsidR="00FD2CAC" w:rsidRPr="00FA683D" w:rsidRDefault="00FD2CAC" w:rsidP="00FD2CAC">
      <w:pPr>
        <w:pStyle w:val="Default"/>
        <w:numPr>
          <w:ilvl w:val="0"/>
          <w:numId w:val="11"/>
        </w:numPr>
        <w:jc w:val="both"/>
      </w:pPr>
      <w:r w:rsidRPr="00FA683D">
        <w:rPr>
          <w:bCs/>
          <w:color w:val="auto"/>
        </w:rPr>
        <w:t xml:space="preserve"> </w:t>
      </w:r>
      <w:r w:rsidRPr="00FA683D">
        <w:t xml:space="preserve">Employees are also entitled to an uninterrupted rest period of at least 24 hours in each seven-day period, 48 hours in each 14-day period or two uninterrupted rest periods of at least 24 hours in each 14-day period. The worker has a duty to inform </w:t>
      </w:r>
      <w:r w:rsidR="00E170AD">
        <w:t>their</w:t>
      </w:r>
      <w:r w:rsidRPr="00FA683D">
        <w:t xml:space="preserve"> manager as soon as possible if </w:t>
      </w:r>
      <w:r w:rsidR="00E170AD">
        <w:t>they are</w:t>
      </w:r>
      <w:r w:rsidRPr="00FA683D">
        <w:t xml:space="preserve"> or may be at risk of being unable to take these required rest breaks. </w:t>
      </w:r>
    </w:p>
    <w:p w14:paraId="64168C4E" w14:textId="77777777" w:rsidR="00FD2CAC" w:rsidRPr="00FA683D" w:rsidRDefault="00FD2CAC" w:rsidP="00FD2CAC">
      <w:pPr>
        <w:pStyle w:val="Default"/>
        <w:jc w:val="both"/>
      </w:pPr>
    </w:p>
    <w:p w14:paraId="50118831" w14:textId="77777777" w:rsidR="00FD2CAC" w:rsidRPr="00FA683D" w:rsidRDefault="00FD2CAC" w:rsidP="00FD2CAC">
      <w:pPr>
        <w:pStyle w:val="Default"/>
        <w:ind w:left="1080"/>
        <w:jc w:val="both"/>
        <w:rPr>
          <w:bCs/>
          <w:color w:val="auto"/>
        </w:rPr>
      </w:pPr>
      <w:r w:rsidRPr="00FA683D">
        <w:rPr>
          <w:bCs/>
          <w:color w:val="auto"/>
        </w:rPr>
        <w:lastRenderedPageBreak/>
        <w:t xml:space="preserve">The organisation expects that employees will take their rest break between 5.00pm and 9.00am daily and between 5.00pm on Friday and 9.00am on Monday. </w:t>
      </w:r>
    </w:p>
    <w:p w14:paraId="4BA2A34E" w14:textId="77777777" w:rsidR="00FD2CAC" w:rsidRPr="00FA683D" w:rsidRDefault="00FD2CAC" w:rsidP="00FD2CAC">
      <w:pPr>
        <w:pStyle w:val="Default"/>
        <w:ind w:left="720" w:hanging="720"/>
        <w:jc w:val="both"/>
      </w:pPr>
    </w:p>
    <w:p w14:paraId="395FC991" w14:textId="77777777" w:rsidR="00FD2CAC" w:rsidRPr="00FA683D" w:rsidRDefault="00FD2CAC" w:rsidP="00FD2CAC">
      <w:pPr>
        <w:pStyle w:val="Default"/>
        <w:numPr>
          <w:ilvl w:val="0"/>
          <w:numId w:val="11"/>
        </w:numPr>
        <w:jc w:val="both"/>
        <w:rPr>
          <w:bCs/>
          <w:color w:val="auto"/>
        </w:rPr>
      </w:pPr>
      <w:r w:rsidRPr="00FA683D">
        <w:t xml:space="preserve"> Employees have the right to a minimum unpaid rest break of 20 minutes after working 6 hours. If operational requirements mean that the employee is unable to take these breaks at that time, they will be entitled to compensatory rest to be agreed by their line manager. Breaks should not be taken at the end of the </w:t>
      </w:r>
      <w:proofErr w:type="gramStart"/>
      <w:r w:rsidRPr="00FA683D">
        <w:t>day, or</w:t>
      </w:r>
      <w:proofErr w:type="gramEnd"/>
      <w:r w:rsidRPr="00FA683D">
        <w:t xml:space="preserve"> stored up and taken on a cumulative basis at a later date. </w:t>
      </w:r>
    </w:p>
    <w:p w14:paraId="2AC49E89" w14:textId="77777777" w:rsidR="00FD2CAC" w:rsidRPr="00FA683D" w:rsidRDefault="00FD2CAC" w:rsidP="00FD2CAC">
      <w:pPr>
        <w:pStyle w:val="ListParagraph"/>
        <w:jc w:val="both"/>
        <w:rPr>
          <w:bCs/>
        </w:rPr>
      </w:pPr>
    </w:p>
    <w:p w14:paraId="5402C5F6" w14:textId="77777777" w:rsidR="00FD2CAC" w:rsidRPr="00FA683D" w:rsidRDefault="00FD2CAC" w:rsidP="00FD2CAC">
      <w:pPr>
        <w:pStyle w:val="Default"/>
        <w:ind w:left="720" w:hanging="720"/>
        <w:jc w:val="both"/>
        <w:rPr>
          <w:bCs/>
          <w:color w:val="auto"/>
        </w:rPr>
      </w:pPr>
      <w:r w:rsidRPr="00FA683D">
        <w:rPr>
          <w:bCs/>
          <w:color w:val="auto"/>
        </w:rPr>
        <w:t>2.6</w:t>
      </w:r>
      <w:r w:rsidRPr="00FA683D">
        <w:rPr>
          <w:bCs/>
          <w:color w:val="auto"/>
        </w:rPr>
        <w:tab/>
        <w:t xml:space="preserve">An employee is entitled to 5.6 weeks paid leave. Part time employees are entitled to the same amount of holiday but </w:t>
      </w:r>
      <w:r w:rsidR="003D2DF6" w:rsidRPr="00FA683D">
        <w:rPr>
          <w:bCs/>
          <w:color w:val="auto"/>
        </w:rPr>
        <w:t xml:space="preserve">on a </w:t>
      </w:r>
      <w:r w:rsidRPr="00FA683D">
        <w:rPr>
          <w:bCs/>
          <w:color w:val="auto"/>
        </w:rPr>
        <w:t>pro rata</w:t>
      </w:r>
      <w:r w:rsidR="003D2DF6" w:rsidRPr="00FA683D">
        <w:rPr>
          <w:bCs/>
          <w:color w:val="auto"/>
        </w:rPr>
        <w:t xml:space="preserve"> basis</w:t>
      </w:r>
      <w:r w:rsidRPr="00FA683D">
        <w:rPr>
          <w:bCs/>
          <w:color w:val="auto"/>
        </w:rPr>
        <w:t xml:space="preserve">. This is inclusive of bank holiday entitlement. </w:t>
      </w:r>
    </w:p>
    <w:p w14:paraId="09714031" w14:textId="77777777" w:rsidR="00FD2CAC" w:rsidRPr="00FA683D" w:rsidRDefault="00FD2CAC" w:rsidP="00FD2CAC">
      <w:pPr>
        <w:pStyle w:val="Default"/>
        <w:ind w:left="720" w:hanging="720"/>
        <w:jc w:val="both"/>
        <w:rPr>
          <w:bCs/>
          <w:color w:val="auto"/>
        </w:rPr>
      </w:pPr>
      <w:r w:rsidRPr="00FA683D">
        <w:rPr>
          <w:b/>
          <w:bCs/>
          <w:color w:val="auto"/>
        </w:rPr>
        <w:tab/>
      </w:r>
    </w:p>
    <w:p w14:paraId="58B858C3" w14:textId="77777777" w:rsidR="00FD2CAC" w:rsidRPr="00FA683D" w:rsidRDefault="00FD2CAC" w:rsidP="00FD2CAC">
      <w:pPr>
        <w:pStyle w:val="Default"/>
        <w:ind w:left="720" w:hanging="720"/>
        <w:jc w:val="both"/>
        <w:rPr>
          <w:bCs/>
          <w:color w:val="auto"/>
        </w:rPr>
      </w:pPr>
      <w:r w:rsidRPr="00FA683D">
        <w:rPr>
          <w:bCs/>
          <w:color w:val="auto"/>
        </w:rPr>
        <w:t>2.7</w:t>
      </w:r>
      <w:r w:rsidRPr="00FA683D">
        <w:rPr>
          <w:bCs/>
          <w:color w:val="auto"/>
        </w:rPr>
        <w:tab/>
        <w:t xml:space="preserve">Young workers are those above school leaving age, but under the age of 18.  The organisation does not permit young people to work </w:t>
      </w:r>
      <w:proofErr w:type="gramStart"/>
      <w:r w:rsidRPr="00FA683D">
        <w:rPr>
          <w:bCs/>
          <w:color w:val="auto"/>
        </w:rPr>
        <w:t>in excess of</w:t>
      </w:r>
      <w:proofErr w:type="gramEnd"/>
      <w:r w:rsidRPr="00FA683D">
        <w:rPr>
          <w:bCs/>
          <w:color w:val="auto"/>
        </w:rPr>
        <w:t xml:space="preserve"> 8 hours per day and they are subject to a maximum working week of 40 hours. A young worker must have a rest break of at least 30 minutes if the working day lasts longer than 4.5 hours. </w:t>
      </w:r>
    </w:p>
    <w:p w14:paraId="33321D30" w14:textId="563CF805" w:rsidR="00FD2CAC" w:rsidRPr="00FA683D" w:rsidRDefault="00FD2CAC" w:rsidP="00FD2CAC">
      <w:pPr>
        <w:pStyle w:val="body"/>
        <w:ind w:left="720" w:hanging="720"/>
        <w:jc w:val="both"/>
        <w:rPr>
          <w:rFonts w:ascii="Arial" w:hAnsi="Arial" w:cs="Arial"/>
        </w:rPr>
      </w:pPr>
      <w:r w:rsidRPr="00FA683D">
        <w:rPr>
          <w:rFonts w:ascii="Arial" w:hAnsi="Arial" w:cs="Arial"/>
          <w:bCs/>
        </w:rPr>
        <w:t>2.8</w:t>
      </w:r>
      <w:r w:rsidRPr="00FA683D">
        <w:rPr>
          <w:rFonts w:ascii="Arial" w:hAnsi="Arial" w:cs="Arial"/>
          <w:bCs/>
        </w:rPr>
        <w:tab/>
        <w:t>A</w:t>
      </w:r>
      <w:r w:rsidRPr="00FA683D">
        <w:rPr>
          <w:rFonts w:ascii="Arial" w:hAnsi="Arial" w:cs="Arial"/>
        </w:rPr>
        <w:t xml:space="preserve">n employee is considered by the organisation to be "working" when </w:t>
      </w:r>
      <w:r w:rsidR="00E170AD">
        <w:rPr>
          <w:rFonts w:ascii="Arial" w:hAnsi="Arial" w:cs="Arial"/>
        </w:rPr>
        <w:t>they are</w:t>
      </w:r>
      <w:r w:rsidRPr="00FA683D">
        <w:rPr>
          <w:rFonts w:ascii="Arial" w:hAnsi="Arial" w:cs="Arial"/>
        </w:rPr>
        <w:t xml:space="preserve"> carrying out activities on behalf of the organisation. This may include training, business travel and "on-call" time. It does not include travel from the worker’s home to </w:t>
      </w:r>
      <w:r w:rsidR="00E170AD">
        <w:rPr>
          <w:rFonts w:ascii="Arial" w:hAnsi="Arial" w:cs="Arial"/>
        </w:rPr>
        <w:t>their</w:t>
      </w:r>
      <w:r w:rsidRPr="00FA683D">
        <w:rPr>
          <w:rFonts w:ascii="Arial" w:hAnsi="Arial" w:cs="Arial"/>
        </w:rPr>
        <w:t xml:space="preserve"> place of work, rest breaks, travel time outside normal working time or non-</w:t>
      </w:r>
      <w:proofErr w:type="gramStart"/>
      <w:r w:rsidRPr="00FA683D">
        <w:rPr>
          <w:rFonts w:ascii="Arial" w:hAnsi="Arial" w:cs="Arial"/>
        </w:rPr>
        <w:t>job related</w:t>
      </w:r>
      <w:proofErr w:type="gramEnd"/>
      <w:r w:rsidRPr="00FA683D">
        <w:rPr>
          <w:rFonts w:ascii="Arial" w:hAnsi="Arial" w:cs="Arial"/>
        </w:rPr>
        <w:t xml:space="preserve"> training.</w:t>
      </w:r>
    </w:p>
    <w:p w14:paraId="249686F1" w14:textId="38750128" w:rsidR="00FD2CAC" w:rsidRPr="00FA683D" w:rsidRDefault="00FD2CAC" w:rsidP="00FD2CAC">
      <w:pPr>
        <w:pStyle w:val="body"/>
        <w:ind w:left="720"/>
        <w:jc w:val="both"/>
        <w:rPr>
          <w:rFonts w:ascii="Arial" w:hAnsi="Arial" w:cs="Arial"/>
        </w:rPr>
      </w:pPr>
      <w:r w:rsidRPr="00FA683D">
        <w:rPr>
          <w:rFonts w:ascii="Arial" w:hAnsi="Arial" w:cs="Arial"/>
        </w:rPr>
        <w:t>The organisation defines "on-call" time as time when a</w:t>
      </w:r>
      <w:r w:rsidR="003D2DF6" w:rsidRPr="00FA683D">
        <w:rPr>
          <w:rFonts w:ascii="Arial" w:hAnsi="Arial" w:cs="Arial"/>
        </w:rPr>
        <w:t>n</w:t>
      </w:r>
      <w:r w:rsidRPr="00FA683D">
        <w:rPr>
          <w:rFonts w:ascii="Arial" w:hAnsi="Arial" w:cs="Arial"/>
        </w:rPr>
        <w:t xml:space="preserve"> employee is required to be available at </w:t>
      </w:r>
      <w:r w:rsidR="00E170AD">
        <w:rPr>
          <w:rFonts w:ascii="Arial" w:hAnsi="Arial" w:cs="Arial"/>
        </w:rPr>
        <w:t>their</w:t>
      </w:r>
      <w:r w:rsidRPr="00FA683D">
        <w:rPr>
          <w:rFonts w:ascii="Arial" w:hAnsi="Arial" w:cs="Arial"/>
        </w:rPr>
        <w:t xml:space="preserve"> place of work and available for work throughout that period. If the employee is not at </w:t>
      </w:r>
      <w:r w:rsidR="00E170AD">
        <w:rPr>
          <w:rFonts w:ascii="Arial" w:hAnsi="Arial" w:cs="Arial"/>
        </w:rPr>
        <w:t>their</w:t>
      </w:r>
      <w:r w:rsidRPr="00FA683D">
        <w:rPr>
          <w:rFonts w:ascii="Arial" w:hAnsi="Arial" w:cs="Arial"/>
        </w:rPr>
        <w:t xml:space="preserve"> place of work, this does not constitute being "on call".</w:t>
      </w:r>
    </w:p>
    <w:p w14:paraId="3DC3907C" w14:textId="7BBA27E1" w:rsidR="00FD2CAC" w:rsidRPr="00FA683D" w:rsidRDefault="00FD2CAC" w:rsidP="00FD2CAC">
      <w:pPr>
        <w:pStyle w:val="body"/>
        <w:ind w:left="720"/>
        <w:jc w:val="both"/>
        <w:rPr>
          <w:rFonts w:ascii="Arial" w:hAnsi="Arial" w:cs="Arial"/>
        </w:rPr>
      </w:pPr>
      <w:r w:rsidRPr="00FA683D">
        <w:rPr>
          <w:rFonts w:ascii="Arial" w:hAnsi="Arial" w:cs="Arial"/>
        </w:rPr>
        <w:t xml:space="preserve">Working time will include time where a worker is required to be at the organisation’s </w:t>
      </w:r>
      <w:proofErr w:type="gramStart"/>
      <w:r w:rsidRPr="00FA683D">
        <w:rPr>
          <w:rFonts w:ascii="Arial" w:hAnsi="Arial" w:cs="Arial"/>
        </w:rPr>
        <w:t>premises, but</w:t>
      </w:r>
      <w:proofErr w:type="gramEnd"/>
      <w:r w:rsidRPr="00FA683D">
        <w:rPr>
          <w:rFonts w:ascii="Arial" w:hAnsi="Arial" w:cs="Arial"/>
        </w:rPr>
        <w:t xml:space="preserve"> is free to rest while waiting for work to be available. It will also include time where a worker is required to travel from site to site for meetings, to attend training or to perform </w:t>
      </w:r>
      <w:r w:rsidR="00E170AD">
        <w:rPr>
          <w:rFonts w:ascii="Arial" w:hAnsi="Arial" w:cs="Arial"/>
        </w:rPr>
        <w:t>their</w:t>
      </w:r>
      <w:r w:rsidRPr="00FA683D">
        <w:rPr>
          <w:rFonts w:ascii="Arial" w:hAnsi="Arial" w:cs="Arial"/>
        </w:rPr>
        <w:t xml:space="preserve"> functions at different locations.</w:t>
      </w:r>
    </w:p>
    <w:p w14:paraId="128AC316" w14:textId="5A2CD9B3" w:rsidR="00FD2CAC" w:rsidRPr="00FA683D" w:rsidRDefault="00FD2CAC" w:rsidP="00FD2CAC">
      <w:pPr>
        <w:pStyle w:val="Default"/>
        <w:ind w:left="720"/>
        <w:jc w:val="both"/>
      </w:pPr>
      <w:r w:rsidRPr="00FA683D">
        <w:t>However, working time will not include travel to and from a</w:t>
      </w:r>
      <w:r w:rsidR="00E44E97" w:rsidRPr="00FA683D">
        <w:t>n</w:t>
      </w:r>
      <w:r w:rsidRPr="00FA683D">
        <w:t xml:space="preserve"> employee’s home (or the equivalent if </w:t>
      </w:r>
      <w:r w:rsidR="00E170AD">
        <w:t>they are</w:t>
      </w:r>
      <w:r w:rsidRPr="00FA683D">
        <w:t xml:space="preserve"> working away from home at the time), or time when an employee (despite being on the organisation's premises or at </w:t>
      </w:r>
      <w:r w:rsidR="00E170AD">
        <w:t>their</w:t>
      </w:r>
      <w:r w:rsidRPr="00FA683D">
        <w:t xml:space="preserve"> place of work) is not available to perform functions for the organisation or is pursing outside interests during that time.</w:t>
      </w:r>
    </w:p>
    <w:p w14:paraId="706AD4E4" w14:textId="0898B356" w:rsidR="00FD2CAC" w:rsidRPr="00FA683D" w:rsidRDefault="00FD2CAC" w:rsidP="00FD2CAC">
      <w:pPr>
        <w:pStyle w:val="body"/>
        <w:ind w:left="720" w:hanging="720"/>
        <w:jc w:val="both"/>
        <w:rPr>
          <w:rFonts w:ascii="Arial" w:hAnsi="Arial" w:cs="Arial"/>
        </w:rPr>
      </w:pPr>
      <w:r w:rsidRPr="00FA683D">
        <w:rPr>
          <w:rFonts w:ascii="Arial" w:hAnsi="Arial" w:cs="Arial"/>
          <w:bCs/>
        </w:rPr>
        <w:t>2.9</w:t>
      </w:r>
      <w:r w:rsidRPr="00FA683D">
        <w:rPr>
          <w:rFonts w:ascii="Arial" w:hAnsi="Arial" w:cs="Arial"/>
        </w:rPr>
        <w:t xml:space="preserve"> </w:t>
      </w:r>
      <w:r w:rsidRPr="00FA683D">
        <w:rPr>
          <w:rFonts w:ascii="Arial" w:hAnsi="Arial" w:cs="Arial"/>
        </w:rPr>
        <w:tab/>
        <w:t xml:space="preserve">If an employee considers that </w:t>
      </w:r>
      <w:r w:rsidR="00E170AD">
        <w:rPr>
          <w:rFonts w:ascii="Arial" w:hAnsi="Arial" w:cs="Arial"/>
        </w:rPr>
        <w:t>they have</w:t>
      </w:r>
      <w:r w:rsidRPr="00FA683D">
        <w:rPr>
          <w:rFonts w:ascii="Arial" w:hAnsi="Arial" w:cs="Arial"/>
        </w:rPr>
        <w:t xml:space="preserve"> been unfairly treated </w:t>
      </w:r>
      <w:proofErr w:type="gramStart"/>
      <w:r w:rsidRPr="00FA683D">
        <w:rPr>
          <w:rFonts w:ascii="Arial" w:hAnsi="Arial" w:cs="Arial"/>
        </w:rPr>
        <w:t>with regard to</w:t>
      </w:r>
      <w:proofErr w:type="gramEnd"/>
      <w:r w:rsidRPr="00FA683D">
        <w:rPr>
          <w:rFonts w:ascii="Arial" w:hAnsi="Arial" w:cs="Arial"/>
        </w:rPr>
        <w:t xml:space="preserve"> </w:t>
      </w:r>
      <w:r w:rsidR="00E170AD">
        <w:rPr>
          <w:rFonts w:ascii="Arial" w:hAnsi="Arial" w:cs="Arial"/>
        </w:rPr>
        <w:t>their</w:t>
      </w:r>
      <w:r w:rsidRPr="00FA683D">
        <w:rPr>
          <w:rFonts w:ascii="Arial" w:hAnsi="Arial" w:cs="Arial"/>
        </w:rPr>
        <w:t xml:space="preserve"> working hours (for example being required to work excessive hours or being unreasonably refused overtime or (temporary) flexible working arrangements), </w:t>
      </w:r>
      <w:r w:rsidR="00E170AD">
        <w:rPr>
          <w:rFonts w:ascii="Arial" w:hAnsi="Arial" w:cs="Arial"/>
        </w:rPr>
        <w:t>they are</w:t>
      </w:r>
      <w:r w:rsidRPr="00FA683D">
        <w:rPr>
          <w:rFonts w:ascii="Arial" w:hAnsi="Arial" w:cs="Arial"/>
        </w:rPr>
        <w:t xml:space="preserve"> requested to raise this informally with </w:t>
      </w:r>
      <w:r w:rsidR="00E170AD">
        <w:rPr>
          <w:rFonts w:ascii="Arial" w:hAnsi="Arial" w:cs="Arial"/>
        </w:rPr>
        <w:t>their</w:t>
      </w:r>
      <w:r w:rsidRPr="00FA683D">
        <w:rPr>
          <w:rFonts w:ascii="Arial" w:hAnsi="Arial" w:cs="Arial"/>
        </w:rPr>
        <w:t xml:space="preserve"> manager. If the worker's complaint relates to </w:t>
      </w:r>
      <w:r w:rsidR="00E170AD">
        <w:rPr>
          <w:rFonts w:ascii="Arial" w:hAnsi="Arial" w:cs="Arial"/>
        </w:rPr>
        <w:t>their</w:t>
      </w:r>
      <w:r w:rsidRPr="00FA683D">
        <w:rPr>
          <w:rFonts w:ascii="Arial" w:hAnsi="Arial" w:cs="Arial"/>
        </w:rPr>
        <w:t xml:space="preserve"> manager, </w:t>
      </w:r>
      <w:r w:rsidR="00E170AD">
        <w:rPr>
          <w:rFonts w:ascii="Arial" w:hAnsi="Arial" w:cs="Arial"/>
        </w:rPr>
        <w:t>they are</w:t>
      </w:r>
      <w:r w:rsidRPr="00FA683D">
        <w:rPr>
          <w:rFonts w:ascii="Arial" w:hAnsi="Arial" w:cs="Arial"/>
        </w:rPr>
        <w:t xml:space="preserve"> requested to raise it with a more senior manager. If a worker is not satisfied following this route, </w:t>
      </w:r>
      <w:r w:rsidR="00E170AD">
        <w:rPr>
          <w:rFonts w:ascii="Arial" w:hAnsi="Arial" w:cs="Arial"/>
        </w:rPr>
        <w:t>they have</w:t>
      </w:r>
      <w:r w:rsidRPr="00FA683D">
        <w:rPr>
          <w:rFonts w:ascii="Arial" w:hAnsi="Arial" w:cs="Arial"/>
        </w:rPr>
        <w:t xml:space="preserve"> the right to raise a grievance in accordance with the organisation’s Grievance procedure.</w:t>
      </w:r>
    </w:p>
    <w:p w14:paraId="4D762DFB" w14:textId="77777777" w:rsidR="00FD2CAC" w:rsidRPr="00FA683D" w:rsidRDefault="00FD2CAC" w:rsidP="00FA683D">
      <w:pPr>
        <w:pStyle w:val="Default"/>
        <w:ind w:left="720" w:hanging="720"/>
        <w:jc w:val="both"/>
        <w:outlineLvl w:val="0"/>
        <w:rPr>
          <w:b/>
          <w:bCs/>
          <w:color w:val="auto"/>
          <w:sz w:val="28"/>
          <w:szCs w:val="28"/>
        </w:rPr>
      </w:pPr>
      <w:bookmarkStart w:id="6" w:name="_Toc106794690"/>
      <w:r w:rsidRPr="00FA683D">
        <w:rPr>
          <w:b/>
          <w:bCs/>
          <w:color w:val="auto"/>
          <w:sz w:val="28"/>
          <w:szCs w:val="28"/>
        </w:rPr>
        <w:t xml:space="preserve">3. </w:t>
      </w:r>
      <w:r w:rsidRPr="00FA683D">
        <w:rPr>
          <w:b/>
          <w:bCs/>
          <w:color w:val="auto"/>
          <w:sz w:val="28"/>
          <w:szCs w:val="28"/>
        </w:rPr>
        <w:tab/>
        <w:t>EQUALITY STATEMENT</w:t>
      </w:r>
      <w:bookmarkEnd w:id="6"/>
    </w:p>
    <w:p w14:paraId="49CED977" w14:textId="77777777" w:rsidR="00FD2CAC" w:rsidRPr="00FA683D" w:rsidRDefault="00FD2CAC" w:rsidP="00FD2CAC">
      <w:pPr>
        <w:pStyle w:val="Default"/>
        <w:ind w:left="720" w:hanging="720"/>
        <w:jc w:val="both"/>
        <w:rPr>
          <w:b/>
          <w:bCs/>
          <w:color w:val="auto"/>
        </w:rPr>
      </w:pPr>
    </w:p>
    <w:p w14:paraId="11EC6DD0" w14:textId="23C5C6C8" w:rsidR="00BF2534" w:rsidRDefault="005C1A9A" w:rsidP="00FA683D">
      <w:pPr>
        <w:pStyle w:val="BodyTextIndent"/>
        <w:ind w:left="720"/>
        <w:rPr>
          <w:lang w:eastAsia="en-US"/>
        </w:rPr>
      </w:pPr>
      <w:bookmarkStart w:id="7" w:name="_Hlk98158023"/>
      <w:r w:rsidRPr="00CF4BD3">
        <w:t xml:space="preserve">In applying this policy, the organisation will have due </w:t>
      </w:r>
      <w:r w:rsidRPr="00E170AD">
        <w:t>regard for the need to eliminate unlawful discrimination</w:t>
      </w:r>
      <w:r w:rsidRPr="00E170AD">
        <w:rPr>
          <w:b/>
        </w:rPr>
        <w:t xml:space="preserve">, </w:t>
      </w:r>
      <w:r w:rsidRPr="00E170AD">
        <w:t>promote equality of opportunity</w:t>
      </w:r>
      <w:r w:rsidRPr="00E170AD">
        <w:rPr>
          <w:b/>
        </w:rPr>
        <w:t xml:space="preserve">, </w:t>
      </w:r>
      <w:r w:rsidRPr="00E170AD">
        <w:t xml:space="preserve">and provide for good relations between people of diverse groups, in particular </w:t>
      </w:r>
      <w:r w:rsidRPr="00E170AD">
        <w:rPr>
          <w:lang w:eastAsia="en-US"/>
        </w:rPr>
        <w:t xml:space="preserve">on the grounds of the following characteristics protected by the Equality Act (2010); age, disability, gender, gender </w:t>
      </w:r>
      <w:r w:rsidRPr="00E170AD">
        <w:rPr>
          <w:lang w:eastAsia="en-US"/>
        </w:rPr>
        <w:lastRenderedPageBreak/>
        <w:t>reassignment, marriage and civil partnership, pregnancy and maternity, race, religion or belief, and sexual orientation, in addition to offending background, trade union membership, or any other personal characteristic.</w:t>
      </w:r>
      <w:bookmarkEnd w:id="7"/>
      <w:r w:rsidRPr="00E170AD">
        <w:rPr>
          <w:lang w:eastAsia="en-US"/>
        </w:rPr>
        <w:t xml:space="preserve"> </w:t>
      </w:r>
    </w:p>
    <w:p w14:paraId="7567A166" w14:textId="77777777" w:rsidR="00FA683D" w:rsidRPr="00FA683D" w:rsidRDefault="00FA683D" w:rsidP="00FA683D">
      <w:pPr>
        <w:pStyle w:val="Default"/>
        <w:rPr>
          <w:lang w:val="x-none" w:eastAsia="en-US"/>
        </w:rPr>
      </w:pPr>
    </w:p>
    <w:p w14:paraId="363D7544" w14:textId="77777777" w:rsidR="00BF2534" w:rsidRPr="00FA683D" w:rsidRDefault="00BF2534" w:rsidP="00FA683D">
      <w:pPr>
        <w:pStyle w:val="BodyTextIndent"/>
        <w:outlineLvl w:val="0"/>
        <w:rPr>
          <w:rFonts w:cs="Arial"/>
          <w:b/>
          <w:bCs/>
          <w:sz w:val="28"/>
          <w:szCs w:val="28"/>
        </w:rPr>
      </w:pPr>
      <w:bookmarkStart w:id="8" w:name="_Toc106794691"/>
      <w:r w:rsidRPr="00FA683D">
        <w:rPr>
          <w:rFonts w:cs="Arial"/>
          <w:b/>
          <w:bCs/>
          <w:sz w:val="28"/>
          <w:szCs w:val="28"/>
          <w:lang w:val="en-GB"/>
        </w:rPr>
        <w:t>4</w:t>
      </w:r>
      <w:r w:rsidRPr="00FA683D">
        <w:rPr>
          <w:rFonts w:cs="Arial"/>
          <w:b/>
          <w:bCs/>
          <w:sz w:val="28"/>
          <w:szCs w:val="28"/>
        </w:rPr>
        <w:t>.</w:t>
      </w:r>
      <w:r w:rsidRPr="00FA683D">
        <w:rPr>
          <w:rFonts w:cs="Arial"/>
          <w:b/>
          <w:bCs/>
          <w:sz w:val="28"/>
          <w:szCs w:val="28"/>
        </w:rPr>
        <w:tab/>
        <w:t>DATA PROTECTION</w:t>
      </w:r>
      <w:bookmarkEnd w:id="8"/>
    </w:p>
    <w:p w14:paraId="6EC88E16" w14:textId="77777777" w:rsidR="00BF2534" w:rsidRPr="00851017" w:rsidRDefault="00BF2534" w:rsidP="00BF2534">
      <w:pPr>
        <w:pStyle w:val="BodyTextIndent"/>
        <w:rPr>
          <w:rFonts w:cs="Arial"/>
          <w:b/>
          <w:bCs/>
        </w:rPr>
      </w:pPr>
    </w:p>
    <w:p w14:paraId="595ECC4B" w14:textId="23A7AF7B" w:rsidR="00FD2CAC" w:rsidRDefault="005C1A9A" w:rsidP="00FA683D">
      <w:pPr>
        <w:pStyle w:val="Default"/>
        <w:ind w:left="720"/>
        <w:jc w:val="both"/>
      </w:pPr>
      <w:r w:rsidRPr="00CF4BD3">
        <w:t>In applying this policy, the Organisation will have due regard for the UK General Data Protection Regulation (UK GDPR) tailored by the Data Protection Act 2018 and the requirement to process personal data fairly and lawfully and in accordance with the data protection principles. Data Subject Rights and freedoms will be respected,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7303CB09" w14:textId="77777777" w:rsidR="00FA683D" w:rsidRPr="00FA683D" w:rsidRDefault="00FA683D" w:rsidP="00FA683D">
      <w:pPr>
        <w:pStyle w:val="Default"/>
        <w:ind w:left="720"/>
        <w:jc w:val="both"/>
        <w:rPr>
          <w:b/>
          <w:bCs/>
          <w:color w:val="auto"/>
          <w:sz w:val="28"/>
          <w:szCs w:val="28"/>
        </w:rPr>
      </w:pPr>
    </w:p>
    <w:p w14:paraId="24D03436" w14:textId="77777777" w:rsidR="00FD2CAC" w:rsidRPr="00FA683D" w:rsidRDefault="00BF2534" w:rsidP="00FA683D">
      <w:pPr>
        <w:pStyle w:val="Default"/>
        <w:ind w:left="720" w:hanging="720"/>
        <w:jc w:val="both"/>
        <w:outlineLvl w:val="0"/>
        <w:rPr>
          <w:b/>
          <w:bCs/>
          <w:color w:val="auto"/>
          <w:sz w:val="28"/>
          <w:szCs w:val="28"/>
        </w:rPr>
      </w:pPr>
      <w:bookmarkStart w:id="9" w:name="_Toc106794692"/>
      <w:r w:rsidRPr="00FA683D">
        <w:rPr>
          <w:b/>
          <w:bCs/>
          <w:color w:val="auto"/>
          <w:sz w:val="28"/>
          <w:szCs w:val="28"/>
        </w:rPr>
        <w:t>5</w:t>
      </w:r>
      <w:r w:rsidR="00FD2CAC" w:rsidRPr="00FA683D">
        <w:rPr>
          <w:b/>
          <w:bCs/>
          <w:color w:val="auto"/>
          <w:sz w:val="28"/>
          <w:szCs w:val="28"/>
        </w:rPr>
        <w:t xml:space="preserve">. </w:t>
      </w:r>
      <w:r w:rsidR="00FD2CAC" w:rsidRPr="00FA683D">
        <w:rPr>
          <w:b/>
          <w:bCs/>
          <w:color w:val="auto"/>
          <w:sz w:val="28"/>
          <w:szCs w:val="28"/>
        </w:rPr>
        <w:tab/>
        <w:t>MONITORING AND REVIEW</w:t>
      </w:r>
      <w:bookmarkEnd w:id="9"/>
      <w:r w:rsidR="00FD2CAC" w:rsidRPr="00FA683D">
        <w:rPr>
          <w:b/>
          <w:bCs/>
          <w:color w:val="auto"/>
          <w:sz w:val="28"/>
          <w:szCs w:val="28"/>
        </w:rPr>
        <w:t xml:space="preserve"> </w:t>
      </w:r>
    </w:p>
    <w:p w14:paraId="626FC2B9" w14:textId="77777777" w:rsidR="00FD2CAC" w:rsidRPr="00FA683D" w:rsidRDefault="00553110" w:rsidP="00FD2CAC">
      <w:pPr>
        <w:pStyle w:val="Default"/>
        <w:ind w:left="720" w:hanging="720"/>
        <w:jc w:val="both"/>
        <w:rPr>
          <w:b/>
          <w:bCs/>
          <w:color w:val="auto"/>
        </w:rPr>
      </w:pPr>
      <w:r w:rsidRPr="00FA683D">
        <w:rPr>
          <w:b/>
          <w:bCs/>
          <w:color w:val="auto"/>
        </w:rPr>
        <w:tab/>
      </w:r>
    </w:p>
    <w:p w14:paraId="748E1B81" w14:textId="77777777" w:rsidR="00553110" w:rsidRPr="00FA683D" w:rsidRDefault="00553110" w:rsidP="00553110">
      <w:pPr>
        <w:pStyle w:val="Default"/>
        <w:ind w:firstLine="720"/>
        <w:jc w:val="both"/>
        <w:rPr>
          <w:b/>
        </w:rPr>
      </w:pPr>
      <w:r w:rsidRPr="00FA683D">
        <w:t>This policy will be reviewed periodically or if statutory changes are required.</w:t>
      </w:r>
    </w:p>
    <w:p w14:paraId="0AC21E13" w14:textId="77777777" w:rsidR="00BF2534" w:rsidRPr="00FA683D" w:rsidRDefault="00BF2534">
      <w:pPr>
        <w:widowControl/>
        <w:autoSpaceDE/>
        <w:autoSpaceDN/>
        <w:adjustRightInd/>
        <w:rPr>
          <w:b/>
          <w:color w:val="000000"/>
        </w:rPr>
      </w:pPr>
      <w:r w:rsidRPr="00FA683D">
        <w:rPr>
          <w:b/>
        </w:rPr>
        <w:br w:type="page"/>
      </w:r>
    </w:p>
    <w:p w14:paraId="74F02571" w14:textId="77777777" w:rsidR="00553110" w:rsidRPr="00CF4BD3" w:rsidRDefault="00553110" w:rsidP="00FD2CAC">
      <w:pPr>
        <w:pStyle w:val="Default"/>
      </w:pPr>
    </w:p>
    <w:p w14:paraId="3BD960C7" w14:textId="739111CD" w:rsidR="00D16837" w:rsidRDefault="00D16837" w:rsidP="00D16837">
      <w:pPr>
        <w:keepNext/>
        <w:widowControl/>
        <w:autoSpaceDE/>
        <w:autoSpaceDN/>
        <w:adjustRightInd/>
        <w:outlineLvl w:val="0"/>
        <w:rPr>
          <w:b/>
          <w:bCs/>
          <w:lang w:val="en-US" w:eastAsia="en-US"/>
        </w:rPr>
      </w:pPr>
      <w:bookmarkStart w:id="10" w:name="_Toc496112356"/>
      <w:bookmarkStart w:id="11" w:name="_Toc106794693"/>
      <w:r w:rsidRPr="00FA683D">
        <w:rPr>
          <w:b/>
          <w:bCs/>
          <w:lang w:val="en-US" w:eastAsia="en-US"/>
        </w:rPr>
        <w:t xml:space="preserve">Appendix </w:t>
      </w:r>
      <w:r w:rsidR="00FA683D">
        <w:rPr>
          <w:b/>
          <w:bCs/>
          <w:lang w:val="en-US" w:eastAsia="en-US"/>
        </w:rPr>
        <w:t>1</w:t>
      </w:r>
      <w:r w:rsidRPr="00FA683D">
        <w:rPr>
          <w:b/>
          <w:bCs/>
          <w:lang w:val="en-US" w:eastAsia="en-US"/>
        </w:rPr>
        <w:t xml:space="preserve"> Equality Impact Assessment</w:t>
      </w:r>
      <w:bookmarkEnd w:id="10"/>
      <w:bookmarkEnd w:id="11"/>
    </w:p>
    <w:p w14:paraId="1F64D74B" w14:textId="77777777" w:rsidR="00FA683D" w:rsidRPr="00FA683D" w:rsidRDefault="00FA683D" w:rsidP="00FA683D">
      <w:pPr>
        <w:pStyle w:val="Default"/>
        <w:rPr>
          <w:lang w:val="en-US" w:eastAsia="en-US"/>
        </w:rPr>
      </w:pPr>
    </w:p>
    <w:p w14:paraId="1D628E88" w14:textId="77777777" w:rsidR="00392320" w:rsidRPr="00FA683D" w:rsidRDefault="00392320" w:rsidP="00392320">
      <w:pPr>
        <w:pStyle w:val="Default"/>
        <w:jc w:val="center"/>
        <w:rPr>
          <w:color w:val="auto"/>
          <w:u w:val="single"/>
        </w:rPr>
      </w:pPr>
      <w:r w:rsidRPr="00FA683D">
        <w:rPr>
          <w:b/>
          <w:bCs/>
          <w:color w:val="auto"/>
          <w:u w:val="single"/>
        </w:rPr>
        <w:t>Equality Analysis Initial Assessment</w:t>
      </w:r>
    </w:p>
    <w:p w14:paraId="6902C1E2" w14:textId="77777777" w:rsidR="00392320" w:rsidRPr="00FA683D" w:rsidRDefault="00392320" w:rsidP="00392320">
      <w:pPr>
        <w:pStyle w:val="Default"/>
        <w:rPr>
          <w:color w:val="auto"/>
        </w:rPr>
      </w:pPr>
      <w:r w:rsidRPr="00FA683D">
        <w:rPr>
          <w:b/>
          <w:bCs/>
          <w:color w:val="auto"/>
        </w:rPr>
        <w:t xml:space="preserve"> </w:t>
      </w:r>
    </w:p>
    <w:p w14:paraId="29D4EA12" w14:textId="77A53E99" w:rsidR="00392320" w:rsidRPr="00FA683D" w:rsidRDefault="00392320" w:rsidP="00392320">
      <w:pPr>
        <w:pStyle w:val="Default"/>
        <w:rPr>
          <w:color w:val="auto"/>
        </w:rPr>
      </w:pPr>
    </w:p>
    <w:sectPr w:rsidR="00392320" w:rsidRPr="00FA683D" w:rsidSect="00F12F63">
      <w:headerReference w:type="even" r:id="rId14"/>
      <w:headerReference w:type="default" r:id="rId15"/>
      <w:footerReference w:type="even" r:id="rId16"/>
      <w:footerReference w:type="default" r:id="rId17"/>
      <w:headerReference w:type="first" r:id="rId18"/>
      <w:footerReference w:type="first" r:id="rId19"/>
      <w:type w:val="continuous"/>
      <w:pgSz w:w="11900" w:h="17340"/>
      <w:pgMar w:top="1123" w:right="987" w:bottom="1741" w:left="103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33F6" w14:textId="77777777" w:rsidR="00CB7303" w:rsidRDefault="00CB7303" w:rsidP="00E63F8E">
      <w:r>
        <w:separator/>
      </w:r>
    </w:p>
  </w:endnote>
  <w:endnote w:type="continuationSeparator" w:id="0">
    <w:p w14:paraId="4ED446DB" w14:textId="77777777" w:rsidR="00CB7303" w:rsidRDefault="00CB7303" w:rsidP="00E6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CBBA" w14:textId="77777777" w:rsidR="00FA683D" w:rsidRDefault="00FA6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23D2" w14:textId="5835D1FD" w:rsidR="00FA683D" w:rsidRPr="00F56C9D" w:rsidRDefault="00FA683D" w:rsidP="00FA683D">
    <w:pPr>
      <w:pStyle w:val="Footer"/>
      <w:tabs>
        <w:tab w:val="right" w:pos="9639"/>
      </w:tabs>
      <w:rPr>
        <w:sz w:val="18"/>
        <w:szCs w:val="18"/>
        <w:lang w:val="en-GB"/>
      </w:rPr>
    </w:pPr>
    <w:r w:rsidRPr="00F56C9D">
      <w:rPr>
        <w:sz w:val="18"/>
        <w:szCs w:val="18"/>
        <w:lang w:val="en-GB"/>
      </w:rPr>
      <w:t>HR</w:t>
    </w:r>
    <w:r>
      <w:rPr>
        <w:sz w:val="18"/>
        <w:szCs w:val="18"/>
        <w:lang w:val="en-GB"/>
      </w:rPr>
      <w:t>36</w:t>
    </w:r>
    <w:r w:rsidRPr="00F56C9D">
      <w:rPr>
        <w:sz w:val="18"/>
        <w:szCs w:val="18"/>
        <w:lang w:val="en-GB"/>
      </w:rPr>
      <w:t xml:space="preserve"> </w:t>
    </w:r>
    <w:r>
      <w:rPr>
        <w:sz w:val="18"/>
        <w:szCs w:val="18"/>
        <w:lang w:val="en-GB"/>
      </w:rPr>
      <w:t xml:space="preserve">Working Time Directive Policy </w:t>
    </w:r>
    <w:r w:rsidRPr="00F56C9D">
      <w:rPr>
        <w:sz w:val="18"/>
        <w:szCs w:val="18"/>
        <w:lang w:val="en-GB"/>
      </w:rPr>
      <w:t>(1 April 2022)</w:t>
    </w:r>
    <w:r w:rsidRPr="00F56C9D">
      <w:rPr>
        <w:sz w:val="18"/>
        <w:szCs w:val="18"/>
        <w:lang w:val="en-GB"/>
      </w:rPr>
      <w:tab/>
    </w:r>
    <w:r w:rsidRPr="00F56C9D">
      <w:rPr>
        <w:sz w:val="18"/>
        <w:szCs w:val="18"/>
      </w:rPr>
      <w:t xml:space="preserve">Page </w:t>
    </w:r>
    <w:r w:rsidRPr="00F56C9D">
      <w:rPr>
        <w:b/>
        <w:bCs/>
        <w:sz w:val="18"/>
        <w:szCs w:val="18"/>
      </w:rPr>
      <w:fldChar w:fldCharType="begin"/>
    </w:r>
    <w:r w:rsidRPr="00F56C9D">
      <w:rPr>
        <w:b/>
        <w:bCs/>
        <w:sz w:val="18"/>
        <w:szCs w:val="18"/>
      </w:rPr>
      <w:instrText xml:space="preserve"> PAGE </w:instrText>
    </w:r>
    <w:r w:rsidRPr="00F56C9D">
      <w:rPr>
        <w:b/>
        <w:bCs/>
        <w:sz w:val="18"/>
        <w:szCs w:val="18"/>
      </w:rPr>
      <w:fldChar w:fldCharType="separate"/>
    </w:r>
    <w:r>
      <w:rPr>
        <w:b/>
        <w:bCs/>
        <w:sz w:val="18"/>
        <w:szCs w:val="18"/>
      </w:rPr>
      <w:t>2</w:t>
    </w:r>
    <w:r w:rsidRPr="00F56C9D">
      <w:rPr>
        <w:b/>
        <w:bCs/>
        <w:sz w:val="18"/>
        <w:szCs w:val="18"/>
      </w:rPr>
      <w:fldChar w:fldCharType="end"/>
    </w:r>
    <w:r w:rsidRPr="00F56C9D">
      <w:rPr>
        <w:sz w:val="18"/>
        <w:szCs w:val="18"/>
      </w:rPr>
      <w:t xml:space="preserve"> of </w:t>
    </w:r>
    <w:r w:rsidRPr="00F56C9D">
      <w:rPr>
        <w:b/>
        <w:bCs/>
        <w:sz w:val="18"/>
        <w:szCs w:val="18"/>
      </w:rPr>
      <w:fldChar w:fldCharType="begin"/>
    </w:r>
    <w:r w:rsidRPr="00F56C9D">
      <w:rPr>
        <w:b/>
        <w:bCs/>
        <w:sz w:val="18"/>
        <w:szCs w:val="18"/>
      </w:rPr>
      <w:instrText xml:space="preserve"> NUMPAGES  </w:instrText>
    </w:r>
    <w:r w:rsidRPr="00F56C9D">
      <w:rPr>
        <w:b/>
        <w:bCs/>
        <w:sz w:val="18"/>
        <w:szCs w:val="18"/>
      </w:rPr>
      <w:fldChar w:fldCharType="separate"/>
    </w:r>
    <w:r>
      <w:rPr>
        <w:b/>
        <w:bCs/>
        <w:sz w:val="18"/>
        <w:szCs w:val="18"/>
      </w:rPr>
      <w:t>8</w:t>
    </w:r>
    <w:r w:rsidRPr="00F56C9D">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29D7" w14:textId="77777777" w:rsidR="00FA683D" w:rsidRDefault="00FA6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1EC5" w14:textId="77777777" w:rsidR="00CB7303" w:rsidRDefault="00CB7303" w:rsidP="00E63F8E">
      <w:r>
        <w:separator/>
      </w:r>
    </w:p>
  </w:footnote>
  <w:footnote w:type="continuationSeparator" w:id="0">
    <w:p w14:paraId="7BE7500B" w14:textId="77777777" w:rsidR="00CB7303" w:rsidRDefault="00CB7303" w:rsidP="00E6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E24D" w14:textId="77777777" w:rsidR="00FA683D" w:rsidRDefault="00FA6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AAB1" w14:textId="56DF5C27" w:rsidR="00FA683D" w:rsidRDefault="00FA6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2DE4" w14:textId="3E84DB0D" w:rsidR="00F12F63" w:rsidRDefault="00F12F63" w:rsidP="00F12F63">
    <w:pPr>
      <w:jc w:val="right"/>
    </w:pPr>
  </w:p>
  <w:p w14:paraId="14BCF886" w14:textId="77777777" w:rsidR="00F12F63" w:rsidRDefault="00F12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D00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15FD"/>
    <w:multiLevelType w:val="hybridMultilevel"/>
    <w:tmpl w:val="9BFE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F708E"/>
    <w:multiLevelType w:val="multilevel"/>
    <w:tmpl w:val="B900AD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440" w:hanging="108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800" w:hanging="144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2160" w:hanging="180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3" w15:restartNumberingAfterBreak="0">
    <w:nsid w:val="1DC82EB8"/>
    <w:multiLevelType w:val="hybridMultilevel"/>
    <w:tmpl w:val="2A6C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25A69"/>
    <w:multiLevelType w:val="hybridMultilevel"/>
    <w:tmpl w:val="2AD6AADC"/>
    <w:lvl w:ilvl="0" w:tplc="CFFA3C8C">
      <w:start w:val="2"/>
      <w:numFmt w:val="bullet"/>
      <w:lvlText w:val="-"/>
      <w:lvlJc w:val="left"/>
      <w:pPr>
        <w:ind w:left="1080" w:hanging="360"/>
      </w:pPr>
      <w:rPr>
        <w:rFonts w:ascii="Arial" w:eastAsia="Times New Roman"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FA08BB"/>
    <w:multiLevelType w:val="multilevel"/>
    <w:tmpl w:val="3D8485F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3D135407"/>
    <w:multiLevelType w:val="hybridMultilevel"/>
    <w:tmpl w:val="A648CA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01E65"/>
    <w:multiLevelType w:val="hybridMultilevel"/>
    <w:tmpl w:val="173EF7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468D5"/>
    <w:multiLevelType w:val="multilevel"/>
    <w:tmpl w:val="2230FC8C"/>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500E7A4F"/>
    <w:multiLevelType w:val="multilevel"/>
    <w:tmpl w:val="EBB29884"/>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7F397FD9"/>
    <w:multiLevelType w:val="hybridMultilevel"/>
    <w:tmpl w:val="3BB88048"/>
    <w:lvl w:ilvl="0" w:tplc="DB2E0D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0"/>
  </w:num>
  <w:num w:numId="5">
    <w:abstractNumId w:val="6"/>
  </w:num>
  <w:num w:numId="6">
    <w:abstractNumId w:val="7"/>
  </w:num>
  <w:num w:numId="7">
    <w:abstractNumId w:val="8"/>
  </w:num>
  <w:num w:numId="8">
    <w:abstractNumId w:val="9"/>
  </w:num>
  <w:num w:numId="9">
    <w:abstractNumId w:val="5"/>
  </w:num>
  <w:num w:numId="10">
    <w:abstractNumId w:val="2"/>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4B6"/>
    <w:rsid w:val="000312FD"/>
    <w:rsid w:val="00045DD1"/>
    <w:rsid w:val="00102CFE"/>
    <w:rsid w:val="00124712"/>
    <w:rsid w:val="00165990"/>
    <w:rsid w:val="001B6DE5"/>
    <w:rsid w:val="00204B74"/>
    <w:rsid w:val="00216048"/>
    <w:rsid w:val="00226633"/>
    <w:rsid w:val="00261ABE"/>
    <w:rsid w:val="00270EAB"/>
    <w:rsid w:val="002774B6"/>
    <w:rsid w:val="00285C2E"/>
    <w:rsid w:val="002A7256"/>
    <w:rsid w:val="00341E6C"/>
    <w:rsid w:val="003428DF"/>
    <w:rsid w:val="00386326"/>
    <w:rsid w:val="00390063"/>
    <w:rsid w:val="00392320"/>
    <w:rsid w:val="003D2DF6"/>
    <w:rsid w:val="004253C7"/>
    <w:rsid w:val="00437517"/>
    <w:rsid w:val="00451DF9"/>
    <w:rsid w:val="00465923"/>
    <w:rsid w:val="004A4120"/>
    <w:rsid w:val="005030D1"/>
    <w:rsid w:val="00522A58"/>
    <w:rsid w:val="00540BB6"/>
    <w:rsid w:val="0054795D"/>
    <w:rsid w:val="0055174B"/>
    <w:rsid w:val="00553110"/>
    <w:rsid w:val="005C1A9A"/>
    <w:rsid w:val="005D3464"/>
    <w:rsid w:val="00672651"/>
    <w:rsid w:val="0067536D"/>
    <w:rsid w:val="00707042"/>
    <w:rsid w:val="0071518C"/>
    <w:rsid w:val="0074483F"/>
    <w:rsid w:val="00851017"/>
    <w:rsid w:val="00862995"/>
    <w:rsid w:val="008E018A"/>
    <w:rsid w:val="008E1324"/>
    <w:rsid w:val="00921BAF"/>
    <w:rsid w:val="009B6862"/>
    <w:rsid w:val="009D329C"/>
    <w:rsid w:val="00A16D0F"/>
    <w:rsid w:val="00A4463C"/>
    <w:rsid w:val="00A857A3"/>
    <w:rsid w:val="00AD064C"/>
    <w:rsid w:val="00AF0C38"/>
    <w:rsid w:val="00B40F5C"/>
    <w:rsid w:val="00B578BC"/>
    <w:rsid w:val="00B65380"/>
    <w:rsid w:val="00B92F17"/>
    <w:rsid w:val="00B94498"/>
    <w:rsid w:val="00BF2534"/>
    <w:rsid w:val="00C23A4A"/>
    <w:rsid w:val="00C275B7"/>
    <w:rsid w:val="00C31AE1"/>
    <w:rsid w:val="00C8739C"/>
    <w:rsid w:val="00CB7303"/>
    <w:rsid w:val="00CC3D11"/>
    <w:rsid w:val="00CC6239"/>
    <w:rsid w:val="00CF4BD3"/>
    <w:rsid w:val="00D16837"/>
    <w:rsid w:val="00D22C76"/>
    <w:rsid w:val="00D9492E"/>
    <w:rsid w:val="00DB394B"/>
    <w:rsid w:val="00DC2A16"/>
    <w:rsid w:val="00E170AD"/>
    <w:rsid w:val="00E372B6"/>
    <w:rsid w:val="00E44E97"/>
    <w:rsid w:val="00E63F8E"/>
    <w:rsid w:val="00EF4689"/>
    <w:rsid w:val="00F12F63"/>
    <w:rsid w:val="00F16E88"/>
    <w:rsid w:val="00F20A62"/>
    <w:rsid w:val="00FA683D"/>
    <w:rsid w:val="00FB4124"/>
    <w:rsid w:val="00FD2CAC"/>
    <w:rsid w:val="00FF5EED"/>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14:docId w14:val="2B7EA20F"/>
  <w15:docId w15:val="{90E65407-DFE9-4FF9-8A3F-22B33A44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pPr>
      <w:widowControl w:val="0"/>
      <w:autoSpaceDE w:val="0"/>
      <w:autoSpaceDN w:val="0"/>
      <w:adjustRightInd w:val="0"/>
    </w:pPr>
    <w:rPr>
      <w:rFonts w:ascii="Arial" w:hAnsi="Arial" w:cs="Arial"/>
      <w:sz w:val="24"/>
      <w:szCs w:val="24"/>
    </w:rPr>
  </w:style>
  <w:style w:type="paragraph" w:styleId="Heading1">
    <w:name w:val="heading 1"/>
    <w:basedOn w:val="Default"/>
    <w:next w:val="Default"/>
    <w:link w:val="Heading1Char"/>
    <w:uiPriority w:val="9"/>
    <w:qFormat/>
    <w:pPr>
      <w:outlineLvl w:val="0"/>
    </w:pPr>
    <w:rPr>
      <w:rFonts w:ascii="Cambria" w:hAnsi="Cambria" w:cs="Times New Roman"/>
      <w:b/>
      <w:bCs/>
      <w:color w:val="auto"/>
      <w:kern w:val="32"/>
      <w:sz w:val="32"/>
      <w:szCs w:val="32"/>
      <w:lang w:val="x-none" w:eastAsia="x-none"/>
    </w:rPr>
  </w:style>
  <w:style w:type="paragraph" w:styleId="Heading2">
    <w:name w:val="heading 2"/>
    <w:basedOn w:val="Default"/>
    <w:next w:val="Default"/>
    <w:link w:val="Heading2Char"/>
    <w:uiPriority w:val="9"/>
    <w:qFormat/>
    <w:pPr>
      <w:outlineLvl w:val="1"/>
    </w:pPr>
    <w:rPr>
      <w:rFonts w:ascii="Cambria" w:hAnsi="Cambria" w:cs="Times New Roman"/>
      <w:b/>
      <w:bCs/>
      <w:i/>
      <w:iCs/>
      <w:color w:val="auto"/>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Pr>
      <w:rFonts w:cs="Times New Roman"/>
      <w:color w:val="auto"/>
      <w:lang w:val="x-none" w:eastAsia="x-none"/>
    </w:rPr>
  </w:style>
  <w:style w:type="character" w:customStyle="1" w:styleId="BodyTextIndentChar">
    <w:name w:val="Body Text Indent Char"/>
    <w:link w:val="BodyTextIndent"/>
    <w:uiPriority w:val="99"/>
    <w:semiHidden/>
    <w:rPr>
      <w:rFonts w:ascii="Arial" w:hAnsi="Arial" w:cs="Arial"/>
      <w:sz w:val="24"/>
      <w:szCs w:val="24"/>
    </w:rPr>
  </w:style>
  <w:style w:type="paragraph" w:styleId="Footer">
    <w:name w:val="footer"/>
    <w:basedOn w:val="Default"/>
    <w:next w:val="Default"/>
    <w:link w:val="FooterChar"/>
    <w:uiPriority w:val="99"/>
    <w:rPr>
      <w:rFonts w:cs="Times New Roman"/>
      <w:color w:val="auto"/>
      <w:lang w:val="x-none" w:eastAsia="x-none"/>
    </w:rPr>
  </w:style>
  <w:style w:type="character" w:customStyle="1" w:styleId="FooterChar">
    <w:name w:val="Footer Char"/>
    <w:link w:val="Footer"/>
    <w:uiPriority w:val="99"/>
    <w:rPr>
      <w:rFonts w:ascii="Arial" w:hAnsi="Arial" w:cs="Arial"/>
      <w:sz w:val="24"/>
      <w:szCs w:val="24"/>
    </w:rPr>
  </w:style>
  <w:style w:type="paragraph" w:styleId="BodyTextIndent2">
    <w:name w:val="Body Text Indent 2"/>
    <w:basedOn w:val="Default"/>
    <w:next w:val="Default"/>
    <w:link w:val="BodyTextIndent2Char"/>
    <w:uiPriority w:val="99"/>
    <w:rPr>
      <w:rFonts w:cs="Times New Roman"/>
      <w:color w:val="auto"/>
      <w:lang w:val="x-none" w:eastAsia="x-none"/>
    </w:rPr>
  </w:style>
  <w:style w:type="character" w:customStyle="1" w:styleId="BodyTextIndent2Char">
    <w:name w:val="Body Text Indent 2 Char"/>
    <w:link w:val="BodyTextIndent2"/>
    <w:uiPriority w:val="99"/>
    <w:semiHidden/>
    <w:rPr>
      <w:rFonts w:ascii="Arial" w:hAnsi="Arial" w:cs="Arial"/>
      <w:sz w:val="24"/>
      <w:szCs w:val="24"/>
    </w:rPr>
  </w:style>
  <w:style w:type="paragraph" w:customStyle="1" w:styleId="BulletIndent">
    <w:name w:val="Bullet Indent"/>
    <w:basedOn w:val="Default"/>
    <w:next w:val="Default"/>
    <w:uiPriority w:val="99"/>
    <w:rPr>
      <w:color w:val="auto"/>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BodyText2">
    <w:name w:val="Body Text 2"/>
    <w:basedOn w:val="Default"/>
    <w:next w:val="Default"/>
    <w:link w:val="BodyText2Char"/>
    <w:uiPriority w:val="99"/>
    <w:rPr>
      <w:rFonts w:cs="Times New Roman"/>
      <w:color w:val="auto"/>
      <w:lang w:val="x-none" w:eastAsia="x-none"/>
    </w:rPr>
  </w:style>
  <w:style w:type="character" w:customStyle="1" w:styleId="BodyText2Char">
    <w:name w:val="Body Text 2 Char"/>
    <w:link w:val="BodyText2"/>
    <w:uiPriority w:val="99"/>
    <w:semiHidden/>
    <w:rPr>
      <w:rFonts w:ascii="Arial" w:hAnsi="Arial" w:cs="Arial"/>
      <w:sz w:val="24"/>
      <w:szCs w:val="24"/>
    </w:rPr>
  </w:style>
  <w:style w:type="paragraph" w:styleId="BodyText">
    <w:name w:val="Body Text"/>
    <w:basedOn w:val="Default"/>
    <w:next w:val="Default"/>
    <w:link w:val="BodyTextChar"/>
    <w:uiPriority w:val="99"/>
    <w:rPr>
      <w:rFonts w:cs="Times New Roman"/>
      <w:color w:val="auto"/>
      <w:lang w:val="x-none" w:eastAsia="x-none"/>
    </w:rPr>
  </w:style>
  <w:style w:type="character" w:customStyle="1" w:styleId="BodyTextChar">
    <w:name w:val="Body Text Char"/>
    <w:link w:val="BodyText"/>
    <w:uiPriority w:val="99"/>
    <w:semiHidden/>
    <w:rPr>
      <w:rFonts w:ascii="Arial" w:hAnsi="Arial" w:cs="Arial"/>
      <w:sz w:val="24"/>
      <w:szCs w:val="24"/>
    </w:rPr>
  </w:style>
  <w:style w:type="paragraph" w:customStyle="1" w:styleId="NumberedPara">
    <w:name w:val="Numbered Para"/>
    <w:basedOn w:val="Default"/>
    <w:next w:val="Default"/>
    <w:uiPriority w:val="99"/>
    <w:rPr>
      <w:color w:val="auto"/>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BodyText3">
    <w:name w:val="Body Text 3"/>
    <w:basedOn w:val="Default"/>
    <w:next w:val="Default"/>
    <w:link w:val="BodyText3Char"/>
    <w:uiPriority w:val="99"/>
    <w:rPr>
      <w:rFonts w:cs="Times New Roman"/>
      <w:color w:val="auto"/>
      <w:sz w:val="16"/>
      <w:szCs w:val="16"/>
      <w:lang w:val="x-none" w:eastAsia="x-none"/>
    </w:rPr>
  </w:style>
  <w:style w:type="character" w:customStyle="1" w:styleId="BodyText3Char">
    <w:name w:val="Body Text 3 Char"/>
    <w:link w:val="BodyText3"/>
    <w:uiPriority w:val="99"/>
    <w:semiHidden/>
    <w:rPr>
      <w:rFonts w:ascii="Arial" w:hAnsi="Arial" w:cs="Arial"/>
      <w:sz w:val="16"/>
      <w:szCs w:val="16"/>
    </w:rPr>
  </w:style>
  <w:style w:type="table" w:styleId="TableGrid">
    <w:name w:val="Table Grid"/>
    <w:basedOn w:val="TableNormal"/>
    <w:rsid w:val="001B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F8E"/>
    <w:pPr>
      <w:tabs>
        <w:tab w:val="center" w:pos="4513"/>
        <w:tab w:val="right" w:pos="9026"/>
      </w:tabs>
    </w:pPr>
    <w:rPr>
      <w:rFonts w:cs="Times New Roman"/>
      <w:lang w:val="x-none" w:eastAsia="x-none"/>
    </w:rPr>
  </w:style>
  <w:style w:type="character" w:customStyle="1" w:styleId="HeaderChar">
    <w:name w:val="Header Char"/>
    <w:link w:val="Header"/>
    <w:uiPriority w:val="99"/>
    <w:rsid w:val="00E63F8E"/>
    <w:rPr>
      <w:rFonts w:ascii="Arial" w:hAnsi="Arial" w:cs="Arial"/>
      <w:sz w:val="24"/>
      <w:szCs w:val="24"/>
    </w:rPr>
  </w:style>
  <w:style w:type="paragraph" w:customStyle="1" w:styleId="body">
    <w:name w:val="body"/>
    <w:basedOn w:val="Normal"/>
    <w:rsid w:val="00FD2CAC"/>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D2CAC"/>
    <w:pPr>
      <w:ind w:left="720"/>
    </w:pPr>
  </w:style>
  <w:style w:type="paragraph" w:styleId="BalloonText">
    <w:name w:val="Balloon Text"/>
    <w:basedOn w:val="Normal"/>
    <w:link w:val="BalloonTextChar"/>
    <w:uiPriority w:val="99"/>
    <w:semiHidden/>
    <w:unhideWhenUsed/>
    <w:rsid w:val="00B92F17"/>
    <w:rPr>
      <w:rFonts w:ascii="Tahoma" w:hAnsi="Tahoma" w:cs="Tahoma"/>
      <w:sz w:val="16"/>
      <w:szCs w:val="16"/>
    </w:rPr>
  </w:style>
  <w:style w:type="character" w:customStyle="1" w:styleId="BalloonTextChar">
    <w:name w:val="Balloon Text Char"/>
    <w:basedOn w:val="DefaultParagraphFont"/>
    <w:link w:val="BalloonText"/>
    <w:uiPriority w:val="99"/>
    <w:semiHidden/>
    <w:rsid w:val="00B92F17"/>
    <w:rPr>
      <w:rFonts w:ascii="Tahoma" w:hAnsi="Tahoma" w:cs="Tahoma"/>
      <w:sz w:val="16"/>
      <w:szCs w:val="16"/>
    </w:rPr>
  </w:style>
  <w:style w:type="character" w:styleId="CommentReference">
    <w:name w:val="annotation reference"/>
    <w:basedOn w:val="DefaultParagraphFont"/>
    <w:uiPriority w:val="99"/>
    <w:semiHidden/>
    <w:unhideWhenUsed/>
    <w:rsid w:val="00BF2534"/>
    <w:rPr>
      <w:sz w:val="16"/>
      <w:szCs w:val="16"/>
    </w:rPr>
  </w:style>
  <w:style w:type="paragraph" w:styleId="CommentText">
    <w:name w:val="annotation text"/>
    <w:basedOn w:val="Normal"/>
    <w:link w:val="CommentTextChar"/>
    <w:uiPriority w:val="99"/>
    <w:semiHidden/>
    <w:unhideWhenUsed/>
    <w:rsid w:val="00BF2534"/>
    <w:rPr>
      <w:sz w:val="20"/>
      <w:szCs w:val="20"/>
    </w:rPr>
  </w:style>
  <w:style w:type="character" w:customStyle="1" w:styleId="CommentTextChar">
    <w:name w:val="Comment Text Char"/>
    <w:basedOn w:val="DefaultParagraphFont"/>
    <w:link w:val="CommentText"/>
    <w:uiPriority w:val="99"/>
    <w:semiHidden/>
    <w:rsid w:val="00BF2534"/>
    <w:rPr>
      <w:rFonts w:ascii="Arial" w:hAnsi="Arial" w:cs="Arial"/>
    </w:rPr>
  </w:style>
  <w:style w:type="paragraph" w:styleId="CommentSubject">
    <w:name w:val="annotation subject"/>
    <w:basedOn w:val="CommentText"/>
    <w:next w:val="CommentText"/>
    <w:link w:val="CommentSubjectChar"/>
    <w:uiPriority w:val="99"/>
    <w:semiHidden/>
    <w:unhideWhenUsed/>
    <w:rsid w:val="00BF2534"/>
    <w:rPr>
      <w:b/>
      <w:bCs/>
    </w:rPr>
  </w:style>
  <w:style w:type="character" w:customStyle="1" w:styleId="CommentSubjectChar">
    <w:name w:val="Comment Subject Char"/>
    <w:basedOn w:val="CommentTextChar"/>
    <w:link w:val="CommentSubject"/>
    <w:uiPriority w:val="99"/>
    <w:semiHidden/>
    <w:rsid w:val="00BF2534"/>
    <w:rPr>
      <w:rFonts w:ascii="Arial" w:hAnsi="Arial" w:cs="Arial"/>
      <w:b/>
      <w:bCs/>
    </w:rPr>
  </w:style>
  <w:style w:type="character" w:styleId="Hyperlink">
    <w:name w:val="Hyperlink"/>
    <w:uiPriority w:val="99"/>
    <w:unhideWhenUsed/>
    <w:rsid w:val="00AF0C38"/>
    <w:rPr>
      <w:color w:val="0000FF"/>
      <w:u w:val="single"/>
    </w:rPr>
  </w:style>
  <w:style w:type="paragraph" w:styleId="NoSpacing">
    <w:name w:val="No Spacing"/>
    <w:link w:val="NoSpacingChar"/>
    <w:uiPriority w:val="1"/>
    <w:qFormat/>
    <w:rsid w:val="005C1A9A"/>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5C1A9A"/>
    <w:rPr>
      <w:rFonts w:asciiTheme="minorHAnsi" w:eastAsiaTheme="minorEastAsia" w:hAnsiTheme="minorHAnsi" w:cstheme="minorBidi"/>
      <w:sz w:val="22"/>
      <w:szCs w:val="22"/>
      <w:lang w:eastAsia="en-US"/>
    </w:rPr>
  </w:style>
  <w:style w:type="paragraph" w:styleId="TOCHeading">
    <w:name w:val="TOC Heading"/>
    <w:basedOn w:val="Heading1"/>
    <w:next w:val="Normal"/>
    <w:uiPriority w:val="39"/>
    <w:unhideWhenUsed/>
    <w:qFormat/>
    <w:rsid w:val="00FA683D"/>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FA683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85614">
      <w:bodyDiv w:val="1"/>
      <w:marLeft w:val="0"/>
      <w:marRight w:val="0"/>
      <w:marTop w:val="0"/>
      <w:marBottom w:val="0"/>
      <w:divBdr>
        <w:top w:val="none" w:sz="0" w:space="0" w:color="auto"/>
        <w:left w:val="none" w:sz="0" w:space="0" w:color="auto"/>
        <w:bottom w:val="none" w:sz="0" w:space="0" w:color="auto"/>
        <w:right w:val="none" w:sz="0" w:space="0" w:color="auto"/>
      </w:divBdr>
    </w:div>
    <w:div w:id="1353535127">
      <w:bodyDiv w:val="1"/>
      <w:marLeft w:val="0"/>
      <w:marRight w:val="0"/>
      <w:marTop w:val="0"/>
      <w:marBottom w:val="0"/>
      <w:divBdr>
        <w:top w:val="none" w:sz="0" w:space="0" w:color="auto"/>
        <w:left w:val="none" w:sz="0" w:space="0" w:color="auto"/>
        <w:bottom w:val="none" w:sz="0" w:space="0" w:color="auto"/>
        <w:right w:val="none" w:sz="0" w:space="0" w:color="auto"/>
      </w:divBdr>
    </w:div>
    <w:div w:id="20624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NECS-1599961520-1429</_dlc_DocId>
    <_dlc_DocIdUrl xmlns="65f02511-e93c-461f-9019-cd992a25a150">
      <Url>https://collab.necsu.nhs.uk/work/NENCICSDTP/_layouts/15/DocIdRedir.aspx?ID=NECS-1599961520-1429</Url>
      <Description>NECS-1599961520-1429</Description>
    </_dlc_DocIdUrl>
    <Folders xmlns="1dac78c3-918c-43eb-8120-ad0b12026302">Documentation</Folders>
    <Category xmlns="1dac78c3-918c-43eb-8120-ad0b12026302">Plans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34C4-F587-4732-A2C6-C069D27D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A8A18-A341-4991-BBFB-688F0965D068}">
  <ds:schemaRefs>
    <ds:schemaRef ds:uri="http://schemas.microsoft.com/office/infopath/2007/PartnerControls"/>
    <ds:schemaRef ds:uri="65f02511-e93c-461f-9019-cd992a25a150"/>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1dac78c3-918c-43eb-8120-ad0b12026302"/>
    <ds:schemaRef ds:uri="http://www.w3.org/XML/1998/namespace"/>
    <ds:schemaRef ds:uri="http://purl.org/dc/terms/"/>
  </ds:schemaRefs>
</ds:datastoreItem>
</file>

<file path=customXml/itemProps3.xml><?xml version="1.0" encoding="utf-8"?>
<ds:datastoreItem xmlns:ds="http://schemas.openxmlformats.org/officeDocument/2006/customXml" ds:itemID="{39879134-5B62-4B5F-A564-CA4750DCD343}">
  <ds:schemaRefs>
    <ds:schemaRef ds:uri="http://schemas.microsoft.com/sharepoint/v3/contenttype/forms"/>
  </ds:schemaRefs>
</ds:datastoreItem>
</file>

<file path=customXml/itemProps4.xml><?xml version="1.0" encoding="utf-8"?>
<ds:datastoreItem xmlns:ds="http://schemas.openxmlformats.org/officeDocument/2006/customXml" ds:itemID="{221D88A5-9D89-449B-AECA-8D7DAA12C0AE}">
  <ds:schemaRefs>
    <ds:schemaRef ds:uri="http://schemas.microsoft.com/sharepoint/events"/>
  </ds:schemaRefs>
</ds:datastoreItem>
</file>

<file path=customXml/itemProps5.xml><?xml version="1.0" encoding="utf-8"?>
<ds:datastoreItem xmlns:ds="http://schemas.openxmlformats.org/officeDocument/2006/customXml" ds:itemID="{B59170D6-FDD6-460F-A775-C89263A3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NHS</Company>
  <LinksUpToDate>false</LinksUpToDate>
  <CharactersWithSpaces>8929</CharactersWithSpaces>
  <SharedDoc>false</SharedDoc>
  <HLinks>
    <vt:vector size="12" baseType="variant">
      <vt:variant>
        <vt:i4>3670116</vt:i4>
      </vt:variant>
      <vt:variant>
        <vt:i4>3</vt:i4>
      </vt:variant>
      <vt:variant>
        <vt:i4>0</vt:i4>
      </vt:variant>
      <vt:variant>
        <vt:i4>5</vt:i4>
      </vt:variant>
      <vt:variant>
        <vt:lpwstr>http://www.slam.nhs.uk/media/373445/nhs rgb.jpg</vt:lpwstr>
      </vt:variant>
      <vt:variant>
        <vt:lpwstr/>
      </vt:variant>
      <vt:variant>
        <vt:i4>3670116</vt:i4>
      </vt:variant>
      <vt:variant>
        <vt:i4>11867</vt:i4>
      </vt:variant>
      <vt:variant>
        <vt:i4>1035</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jumcg</dc:creator>
  <cp:lastModifiedBy>BRUNDLE, Kirstin (NHS NORTH OF ENGLAND COMMISSIONING SUPPORT UNIT)</cp:lastModifiedBy>
  <cp:revision>4</cp:revision>
  <dcterms:created xsi:type="dcterms:W3CDTF">2022-07-01T10:53:00Z</dcterms:created>
  <dcterms:modified xsi:type="dcterms:W3CDTF">2022-08-23T15:43:00Z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487243110</vt:i4>
  </property>
  <property fmtid="{D5CDD505-2E9C-101B-9397-08002B2CF9AE}" pid="3" name="_dlc_DocIdItemGuid">
    <vt:lpwstr>d7198ee1-e4f6-4947-b9ff-e3a50df54d1a</vt:lpwstr>
  </property>
  <property fmtid="{D5CDD505-2E9C-101B-9397-08002B2CF9AE}" pid="4" name="ContentTypeId">
    <vt:lpwstr>0x010100863668BB21C21646952A45A739FF6297</vt:lpwstr>
  </property>
</Properties>
</file>